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</w:t>
      </w:r>
      <w:r>
        <w:rPr>
          <w:rFonts w:eastAsia="Cambria" w:cs="Cambria" w:ascii="Cambria" w:hAnsi="Cambria"/>
          <w:b/>
          <w:color w:val="auto"/>
          <w:kern w:val="0"/>
          <w:sz w:val="23"/>
          <w:szCs w:val="22"/>
          <w:lang w:val="pt-BR" w:eastAsia="pt-BR" w:bidi="ar-SA"/>
        </w:rPr>
        <w:t>A ATA</w:t>
      </w:r>
      <w:r>
        <w:rPr>
          <w:rFonts w:eastAsia="Cambria" w:cs="Cambria" w:ascii="Cambria" w:hAnsi="Cambria"/>
          <w:b/>
          <w:sz w:val="23"/>
        </w:rPr>
        <w:t>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PREGÃO ELETRÔNICO SRP nº XXX/202</w:t>
      </w: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659"/>
              <wp:lineTo x="21270" y="20659"/>
              <wp:lineTo x="21270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120fb7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120fb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123</Words>
  <Characters>883</Characters>
  <CharactersWithSpaces>995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cp:lastPrinted>2024-08-09T13:35:00Z</cp:lastPrinted>
  <dcterms:modified xsi:type="dcterms:W3CDTF">2025-01-10T11:42:30Z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