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80" w:after="0"/>
        <w:ind w:left="277" w:right="0" w:hanging="254"/>
        <w:jc w:val="left"/>
        <w:rPr/>
      </w:pPr>
      <w:r>
        <w:rPr/>
        <w:t>Considerando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existência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Administração</w:t>
      </w:r>
      <w:r>
        <w:rPr>
          <w:spacing w:val="-6"/>
        </w:rPr>
        <w:t xml:space="preserve"> </w:t>
      </w:r>
      <w:r>
        <w:rPr/>
        <w:t>Direta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Indireta,</w:t>
      </w:r>
      <w:r>
        <w:rPr>
          <w:spacing w:val="-7"/>
        </w:rPr>
        <w:t xml:space="preserve"> </w:t>
      </w:r>
      <w:r>
        <w:rPr/>
        <w:t>pedimos</w:t>
      </w:r>
      <w:r>
        <w:rPr>
          <w:spacing w:val="-6"/>
        </w:rPr>
        <w:t xml:space="preserve"> </w:t>
      </w:r>
      <w:r>
        <w:rPr>
          <w:spacing w:val="-2"/>
        </w:rPr>
        <w:t>informar: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38" w:after="0"/>
        <w:ind w:left="277" w:right="0" w:hanging="254"/>
        <w:jc w:val="left"/>
        <w:rPr>
          <w:i/>
          <w:i/>
          <w:sz w:val="22"/>
        </w:rPr>
      </w:pPr>
      <w:r>
        <w:rPr>
          <w:i/>
          <w:sz w:val="22"/>
        </w:rPr>
        <w:t>Será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mais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um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CNPJ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parte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processamento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Folha?</w:t>
      </w:r>
    </w:p>
    <w:p>
      <w:pPr>
        <w:pStyle w:val="Ttulo1"/>
        <w:spacing w:before="38" w:after="0"/>
        <w:jc w:val="left"/>
        <w:rPr/>
      </w:pPr>
      <w:r>
        <w:rPr>
          <w:color w:val="0000FF"/>
          <w:spacing w:val="-2"/>
        </w:rPr>
        <w:t>RESPOSTA: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Sim.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left"/>
        <w:rPr>
          <w:i/>
          <w:i/>
          <w:sz w:val="22"/>
        </w:rPr>
      </w:pPr>
      <w:r>
        <w:rPr>
          <w:i/>
          <w:sz w:val="22"/>
        </w:rPr>
        <w:t>Caso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sim,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qual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qualificação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demais?</w:t>
      </w:r>
    </w:p>
    <w:p>
      <w:pPr>
        <w:pStyle w:val="Ttulo1"/>
        <w:tabs>
          <w:tab w:val="clear" w:pos="720"/>
          <w:tab w:val="left" w:pos="5601" w:leader="none"/>
        </w:tabs>
        <w:spacing w:before="38" w:after="0"/>
        <w:jc w:val="left"/>
        <w:rPr/>
      </w:pPr>
      <w:r>
        <w:rPr>
          <w:color w:val="0000FF"/>
        </w:rPr>
        <w:t>RESPOSTA:</w:t>
      </w:r>
      <w:r>
        <w:rPr>
          <w:color w:val="0000FF"/>
          <w:spacing w:val="66"/>
          <w:w w:val="150"/>
        </w:rPr>
        <w:t xml:space="preserve"> </w:t>
      </w:r>
      <w:r>
        <w:rPr>
          <w:color w:val="0000FF"/>
          <w:spacing w:val="-2"/>
        </w:rPr>
        <w:t>Órgão</w:t>
      </w:r>
      <w:r>
        <w:rPr>
          <w:color w:val="0000FF"/>
        </w:rPr>
        <w:tab/>
      </w:r>
      <w:r>
        <w:rPr>
          <w:color w:val="0000FF"/>
          <w:spacing w:val="-4"/>
        </w:rPr>
        <w:t>CNPJ</w:t>
      </w:r>
    </w:p>
    <w:p>
      <w:pPr>
        <w:pStyle w:val="Normal"/>
        <w:tabs>
          <w:tab w:val="clear" w:pos="720"/>
          <w:tab w:val="left" w:pos="5593" w:leader="none"/>
        </w:tabs>
        <w:spacing w:lineRule="auto" w:line="276" w:before="38" w:after="0"/>
        <w:ind w:left="1427" w:right="1509" w:hanging="0"/>
        <w:jc w:val="left"/>
        <w:rPr>
          <w:b/>
          <w:b/>
          <w:sz w:val="22"/>
        </w:rPr>
      </w:pPr>
      <w:r>
        <w:rPr>
          <w:b/>
          <w:color w:val="0000FF"/>
          <w:sz w:val="22"/>
        </w:rPr>
        <w:t>Prefeitura Municipal de Itaboraí – RJ</w:t>
        <w:tab/>
      </w:r>
      <w:r>
        <w:rPr>
          <w:b/>
          <w:color w:val="0000FF"/>
          <w:spacing w:val="-2"/>
          <w:sz w:val="22"/>
        </w:rPr>
        <w:t xml:space="preserve">28.741.080/0001-55 </w:t>
      </w:r>
      <w:r>
        <w:rPr>
          <w:b/>
          <w:color w:val="0000FF"/>
          <w:sz w:val="22"/>
        </w:rPr>
        <w:t>Itaprevi</w:t>
      </w:r>
      <w:r>
        <w:rPr>
          <w:b/>
          <w:color w:val="0000FF"/>
          <w:spacing w:val="-5"/>
          <w:sz w:val="22"/>
        </w:rPr>
        <w:t xml:space="preserve"> </w:t>
      </w:r>
      <w:r>
        <w:rPr>
          <w:b/>
          <w:color w:val="0000FF"/>
          <w:sz w:val="22"/>
        </w:rPr>
        <w:t>–</w:t>
      </w:r>
      <w:r>
        <w:rPr>
          <w:b/>
          <w:color w:val="0000FF"/>
          <w:spacing w:val="-4"/>
          <w:sz w:val="22"/>
        </w:rPr>
        <w:t xml:space="preserve"> </w:t>
      </w:r>
      <w:r>
        <w:rPr>
          <w:b/>
          <w:color w:val="0000FF"/>
          <w:spacing w:val="-5"/>
          <w:sz w:val="22"/>
        </w:rPr>
        <w:t>RJ</w:t>
      </w:r>
      <w:r>
        <w:rPr>
          <w:b/>
          <w:color w:val="0000FF"/>
          <w:sz w:val="22"/>
        </w:rPr>
        <w:tab/>
      </w:r>
      <w:r>
        <w:rPr>
          <w:b/>
          <w:color w:val="0000FF"/>
          <w:spacing w:val="-34"/>
          <w:sz w:val="22"/>
        </w:rPr>
        <w:t xml:space="preserve"> </w:t>
      </w:r>
      <w:r>
        <w:rPr>
          <w:b/>
          <w:color w:val="0000FF"/>
          <w:spacing w:val="-2"/>
          <w:sz w:val="22"/>
        </w:rPr>
        <w:t>39.250.220/0001-</w:t>
      </w:r>
      <w:r>
        <w:rPr>
          <w:b/>
          <w:color w:val="0000FF"/>
          <w:sz w:val="22"/>
        </w:rPr>
        <w:t>09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40" w:leader="none"/>
        </w:tabs>
        <w:spacing w:lineRule="auto" w:line="276" w:before="0" w:after="0"/>
        <w:ind w:left="23" w:right="47" w:hanging="0"/>
        <w:jc w:val="left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entidade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licitante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tem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legitimidade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jurídica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licitar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nome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desses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 xml:space="preserve">demais </w:t>
      </w:r>
      <w:r>
        <w:rPr>
          <w:i/>
          <w:spacing w:val="-2"/>
          <w:sz w:val="22"/>
        </w:rPr>
        <w:t>CNPJ’s?</w:t>
      </w:r>
    </w:p>
    <w:p>
      <w:pPr>
        <w:pStyle w:val="Ttulo1"/>
        <w:spacing w:lineRule="auto" w:line="276"/>
        <w:jc w:val="left"/>
        <w:rPr/>
      </w:pPr>
      <w:r>
        <w:rPr>
          <w:color w:val="0000FF"/>
        </w:rPr>
        <w:t>RESPOSTA: A prefeitura possui previsão legal na Lei Orgânica Municipal</w:t>
      </w:r>
      <w:r>
        <w:rPr>
          <w:color w:val="0000FF"/>
          <w:vertAlign w:val="superscript"/>
        </w:rPr>
        <w:t>1</w:t>
      </w:r>
      <w:r>
        <w:rPr>
          <w:color w:val="0000FF"/>
          <w:position w:val="0"/>
          <w:sz w:val="22"/>
          <w:vertAlign w:val="baseline"/>
        </w:rPr>
        <w:t xml:space="preserve"> no art. 93, art. 103 e art. 116.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2" w:leader="none"/>
        </w:tabs>
        <w:spacing w:lineRule="auto" w:line="276" w:before="0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Na existência de mais de um CNPJ, será firmado contrato individual para cada matriz fiscal ou serão todos abrangidos em um único contrato?</w:t>
      </w:r>
    </w:p>
    <w:p>
      <w:pPr>
        <w:pStyle w:val="Ttulo1"/>
        <w:jc w:val="left"/>
        <w:rPr/>
      </w:pPr>
      <w:r>
        <w:rPr>
          <w:color w:val="0000FF"/>
        </w:rPr>
        <w:t>RESPOSTA: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Único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contrato.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07" w:leader="none"/>
        </w:tabs>
        <w:spacing w:lineRule="auto" w:line="276" w:before="0" w:after="0"/>
        <w:ind w:left="23" w:right="43" w:hanging="0"/>
        <w:jc w:val="both"/>
        <w:rPr>
          <w:i/>
          <w:i/>
          <w:sz w:val="22"/>
        </w:rPr>
      </w:pPr>
      <w:r>
        <w:rPr>
          <w:i/>
          <w:sz w:val="22"/>
        </w:rPr>
        <w:t>Os pensionistas, aposentados e servidores inativos serão pagos pela entidade licitante ou por Instituto de Previdência?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seja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Instituto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Previdência,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mesmo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estará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no contrato de processamento de folha originado desta licitação?</w:t>
      </w:r>
    </w:p>
    <w:p>
      <w:pPr>
        <w:pStyle w:val="Ttulo1"/>
        <w:spacing w:lineRule="auto" w:line="276"/>
        <w:ind w:left="23" w:right="40" w:hanging="0"/>
        <w:rPr/>
      </w:pPr>
      <w:r>
        <w:rPr>
          <w:color w:val="0000FF"/>
        </w:rPr>
        <w:t>RESPOSTA: Pelo Instituto de Previdência: ITAPREVI. Sim, estará no contrato, conforme Termo de Referência.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left"/>
        <w:rPr/>
      </w:pPr>
      <w:r>
        <w:rPr/>
        <w:t>Quanto</w:t>
      </w:r>
      <w:r>
        <w:rPr>
          <w:spacing w:val="-8"/>
        </w:rPr>
        <w:t xml:space="preserve"> </w:t>
      </w:r>
      <w:r>
        <w:rPr/>
        <w:t>ao</w:t>
      </w:r>
      <w:r>
        <w:rPr>
          <w:spacing w:val="-7"/>
        </w:rPr>
        <w:t xml:space="preserve"> </w:t>
      </w:r>
      <w:r>
        <w:rPr/>
        <w:t>pagamento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proposta</w:t>
      </w:r>
      <w:r>
        <w:rPr>
          <w:spacing w:val="-7"/>
        </w:rPr>
        <w:t xml:space="preserve"> </w:t>
      </w:r>
      <w:r>
        <w:rPr/>
        <w:t>vencedora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licitação,</w:t>
      </w:r>
      <w:r>
        <w:rPr>
          <w:spacing w:val="-7"/>
        </w:rPr>
        <w:t xml:space="preserve"> </w:t>
      </w:r>
      <w:r>
        <w:rPr/>
        <w:t>pergunta-</w:t>
      </w:r>
      <w:r>
        <w:rPr>
          <w:spacing w:val="-5"/>
        </w:rPr>
        <w:t>se: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76" w:before="38" w:after="0"/>
        <w:ind w:left="23" w:right="41" w:hanging="0"/>
        <w:jc w:val="left"/>
        <w:rPr>
          <w:i/>
          <w:i/>
          <w:sz w:val="22"/>
        </w:rPr>
      </w:pP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valor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deverá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pago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banco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público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previamente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informado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pela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entidade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licitante? Diante disto, pedimos informar os dados bancários para efetivação do pagamento. </w:t>
      </w:r>
      <w:r>
        <w:rPr>
          <w:b/>
          <w:color w:val="0000FF"/>
          <w:sz w:val="22"/>
        </w:rPr>
        <w:t>RESPOSTA: Vide item 10.1 do Termo de Referência.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7" w:leader="none"/>
        </w:tabs>
        <w:spacing w:lineRule="auto" w:line="276" w:before="0" w:after="0"/>
        <w:ind w:left="23" w:right="38" w:hanging="0"/>
        <w:jc w:val="both"/>
        <w:rPr>
          <w:i/>
          <w:i/>
          <w:sz w:val="22"/>
        </w:rPr>
      </w:pPr>
      <w:r>
        <w:rPr>
          <w:i/>
          <w:sz w:val="22"/>
        </w:rPr>
        <w:t>Caso haja mais de um CNPJ o pagamento deverá ser feito de forma segregada e proporcional? Se sim, pedimos que seja esclarecido as proporções e a forma com a qual será feita essa divisão.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Não,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único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pagamento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Prefeitura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somente.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85" w:leader="none"/>
        </w:tabs>
        <w:spacing w:lineRule="auto" w:line="276" w:before="0" w:after="0"/>
        <w:ind w:left="23" w:right="39" w:hanging="0"/>
        <w:jc w:val="both"/>
        <w:rPr>
          <w:i/>
          <w:i/>
          <w:sz w:val="22"/>
        </w:rPr>
      </w:pPr>
      <w:r>
        <w:rPr>
          <w:i/>
          <w:sz w:val="22"/>
        </w:rPr>
        <w:t>Considerando a complexidade para realização dos controles internos, podemos considerar que em caso de vitória do processo, o Banco vencedor poderá efetivar o pagamento da proposta no prazo de até 15 (quinze) dias úteis?</w:t>
      </w:r>
    </w:p>
    <w:p>
      <w:pPr>
        <w:pStyle w:val="Ttulo1"/>
        <w:spacing w:lineRule="auto" w:line="276"/>
        <w:ind w:left="23" w:right="35" w:hanging="0"/>
        <w:rPr/>
      </w:pPr>
      <w:r>
        <w:rPr>
          <w:color w:val="0000FF"/>
        </w:rPr>
        <w:t>RESPOSTA: Não, 15 (quinze) dias corridos, já que no Termo de Referência, no item 10.1, não menciona dias úteis.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2" w:leader="none"/>
        </w:tabs>
        <w:spacing w:lineRule="auto" w:line="276" w:before="0" w:after="0"/>
        <w:ind w:left="23" w:right="38" w:hanging="0"/>
        <w:jc w:val="left"/>
        <w:rPr>
          <w:color w:val="000000"/>
        </w:rPr>
      </w:pPr>
      <w:r>
        <w:rPr>
          <w:i/>
          <w:color w:val="000000"/>
          <w:sz w:val="22"/>
        </w:rPr>
        <w:t>Em caso de Pregão Eletrônico que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veda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a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identificação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da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licitante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interessada,</w:t>
      </w:r>
      <w:r>
        <w:rPr>
          <w:i/>
          <w:color w:val="000000"/>
          <w:spacing w:val="-3"/>
          <w:sz w:val="22"/>
        </w:rPr>
        <w:t xml:space="preserve"> </w:t>
      </w:r>
      <w:r>
        <w:rPr>
          <w:i/>
          <w:color w:val="000000"/>
          <w:sz w:val="22"/>
        </w:rPr>
        <w:t>pedimos ratificar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o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nosso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entendimento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de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que</w:t>
      </w:r>
      <w:r>
        <w:rPr>
          <w:i/>
          <w:color w:val="000000"/>
          <w:spacing w:val="40"/>
          <w:sz w:val="22"/>
        </w:rPr>
        <w:t xml:space="preserve"> </w:t>
      </w:r>
      <w:r>
        <w:rPr>
          <w:i/>
          <w:color w:val="000000"/>
          <w:sz w:val="22"/>
        </w:rPr>
        <w:t>a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utilização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do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mero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papel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timbrado,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contendo</w:t>
      </w:r>
      <w:r>
        <w:rPr>
          <w:i/>
          <w:color w:val="000000"/>
          <w:spacing w:val="26"/>
          <w:sz w:val="22"/>
        </w:rPr>
        <w:t xml:space="preserve"> </w:t>
      </w:r>
      <w:r>
        <w:rPr>
          <w:i/>
          <w:color w:val="000000"/>
          <w:sz w:val="22"/>
        </w:rPr>
        <w:t>as</w:t>
      </w:r>
    </w:p>
    <w:p>
      <w:pPr>
        <w:pStyle w:val="Corpodotexto"/>
        <w:spacing w:before="11" w:after="0"/>
        <w:rPr>
          <w:color w:val="000000"/>
          <w:sz w:val="19"/>
        </w:rPr>
      </w:pPr>
      <w:r>
        <w:rPr>
          <w:color w:val="000000"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1828800" cy="1270"/>
                <wp:effectExtent l="0" t="5080" r="0" b="381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40"/>
                        </a:xfrm>
                        <a:custGeom>
                          <a:avLst/>
                          <a:gdLst>
                            <a:gd name="textAreaLeft" fmla="*/ 0 w 1036800"/>
                            <a:gd name="textAreaRight" fmla="*/ 1037160 w 103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8" w:after="0"/>
        <w:ind w:left="23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position w:val="0"/>
          <w:sz w:val="20"/>
          <w:sz w:val="20"/>
          <w:vertAlign w:val="baseline"/>
        </w:rPr>
        <w:t xml:space="preserve"> Disponível em: </w:t>
      </w:r>
      <w:hyperlink r:id="rId2">
        <w:r>
          <w:rPr>
            <w:rFonts w:ascii="Arial MT" w:hAnsi="Arial MT"/>
            <w:color w:val="1154CC"/>
            <w:spacing w:val="-2"/>
            <w:position w:val="0"/>
            <w:sz w:val="20"/>
            <w:sz w:val="20"/>
            <w:u w:val="thick" w:color="1154CC"/>
            <w:vertAlign w:val="baseline"/>
          </w:rPr>
          <w:t>https://www.itaborai.cespro.com.br/visualizarDiploma.php?cdMunicipio=6759&amp;cdDiploma=999942</w:t>
        </w:r>
      </w:hyperlink>
    </w:p>
    <w:p>
      <w:pPr>
        <w:pStyle w:val="Normal"/>
        <w:spacing w:before="0" w:after="0"/>
        <w:ind w:left="23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²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Disponível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em:</w:t>
      </w:r>
      <w:r>
        <w:rPr>
          <w:rFonts w:ascii="Arial MT" w:hAnsi="Arial MT"/>
          <w:spacing w:val="-4"/>
          <w:sz w:val="20"/>
        </w:rPr>
        <w:t xml:space="preserve"> </w:t>
      </w:r>
      <w:hyperlink r:id="rId3">
        <w:r>
          <w:rPr>
            <w:rFonts w:ascii="Arial MT" w:hAnsi="Arial MT"/>
            <w:color w:val="1154CC"/>
            <w:spacing w:val="-2"/>
            <w:sz w:val="20"/>
            <w:u w:val="thick" w:color="1154CC"/>
          </w:rPr>
          <w:t>https://transparencianovo.ib.itaborai.rj.gov.br/</w:t>
        </w:r>
      </w:hyperlink>
    </w:p>
    <w:p>
      <w:pPr>
        <w:pStyle w:val="Normal"/>
        <w:spacing w:before="0" w:after="0"/>
        <w:ind w:left="23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³ Disponível em: </w:t>
      </w:r>
      <w:hyperlink r:id="rId4">
        <w:r>
          <w:rPr>
            <w:rFonts w:ascii="Arial MT" w:hAnsi="Arial MT"/>
            <w:color w:val="1154CC"/>
            <w:spacing w:val="-2"/>
            <w:sz w:val="20"/>
            <w:u w:val="thick" w:color="1154CC"/>
          </w:rPr>
          <w:t>https://cespro.com.br/visualizarDiploma.php?cdMunicipio=6759&amp;cdDiploma=202229651&amp;NroLei=2.9</w:t>
        </w:r>
      </w:hyperlink>
      <w:r>
        <w:rPr>
          <w:rFonts w:ascii="Arial MT" w:hAnsi="Arial MT"/>
          <w:color w:val="1154CC"/>
          <w:spacing w:val="-2"/>
          <w:sz w:val="20"/>
        </w:rPr>
        <w:t xml:space="preserve"> </w:t>
      </w:r>
      <w:hyperlink r:id="rId5">
        <w:r>
          <w:rPr>
            <w:rFonts w:ascii="Arial MT" w:hAnsi="Arial MT"/>
            <w:color w:val="1154CC"/>
            <w:spacing w:val="-2"/>
            <w:sz w:val="20"/>
            <w:u w:val="thick" w:color="1154CC"/>
          </w:rPr>
          <w:t>65&amp;Word=&amp;Word2=</w:t>
        </w:r>
      </w:hyperlink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lineRule="auto" w:line="276" w:before="80" w:after="0"/>
        <w:ind w:left="23" w:right="41" w:hanging="0"/>
        <w:jc w:val="both"/>
        <w:rPr>
          <w:color w:val="000000"/>
        </w:rPr>
      </w:pPr>
      <w:r>
        <w:rPr>
          <w:color w:val="000000"/>
        </w:rPr>
        <w:t>informações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representante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interessada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será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considerada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identificação,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impedindo assim a desclassificação da instituição.</w:t>
      </w:r>
    </w:p>
    <w:p>
      <w:pPr>
        <w:pStyle w:val="Corpodotexto"/>
        <w:spacing w:lineRule="auto" w:line="276" w:before="80" w:after="0"/>
        <w:ind w:left="23" w:right="41" w:hanging="0"/>
        <w:jc w:val="both"/>
        <w:rPr>
          <w:color w:val="0000FF"/>
        </w:rPr>
      </w:pPr>
      <w:r>
        <w:rPr>
          <w:color w:val="0000FF"/>
        </w:rPr>
        <w:t>RESPOSTA: Não será desclassificada, até porque, os demais participantes não têm acesso a estas informações antes do término da fase de lances</w:t>
      </w:r>
    </w:p>
    <w:p>
      <w:pPr>
        <w:pStyle w:val="Corpodotexto"/>
        <w:spacing w:lineRule="auto" w:line="276" w:before="80" w:after="0"/>
        <w:ind w:left="23" w:right="41" w:hanging="0"/>
        <w:jc w:val="both"/>
        <w:rPr>
          <w:color w:val="FF0000"/>
        </w:rPr>
      </w:pPr>
      <w:r>
        <w:rPr/>
      </w:r>
    </w:p>
    <w:p>
      <w:pPr>
        <w:pStyle w:val="Ttulo1"/>
        <w:rPr/>
      </w:pPr>
      <w:r>
        <w:rPr>
          <w:color w:val="0000FF"/>
        </w:rPr>
        <w:t>ESSES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COMPETE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RESPOSTA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SECRETARIA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COMPRAS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1" w:after="0"/>
        <w:ind w:left="277" w:right="0" w:hanging="254"/>
        <w:jc w:val="both"/>
        <w:rPr/>
      </w:pPr>
      <w:r>
        <w:rPr/>
        <w:t>Pedimos</w:t>
      </w:r>
      <w:r>
        <w:rPr>
          <w:spacing w:val="-9"/>
        </w:rPr>
        <w:t xml:space="preserve"> </w:t>
      </w:r>
      <w:r>
        <w:rPr/>
        <w:t>ratificar</w:t>
      </w:r>
      <w:r>
        <w:rPr>
          <w:spacing w:val="-6"/>
        </w:rPr>
        <w:t xml:space="preserve"> </w:t>
      </w:r>
      <w:r>
        <w:rPr/>
        <w:t>nosso</w:t>
      </w:r>
      <w:r>
        <w:rPr>
          <w:spacing w:val="-6"/>
        </w:rPr>
        <w:t xml:space="preserve"> </w:t>
      </w:r>
      <w:r>
        <w:rPr/>
        <w:t>entendimento,</w:t>
      </w:r>
      <w:r>
        <w:rPr>
          <w:spacing w:val="-6"/>
        </w:rPr>
        <w:t xml:space="preserve"> </w:t>
      </w:r>
      <w:r>
        <w:rPr/>
        <w:t>durante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prazo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>
          <w:spacing w:val="-2"/>
        </w:rPr>
        <w:t>contrato: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38" w:after="0"/>
        <w:ind w:left="277" w:right="0" w:hanging="254"/>
        <w:jc w:val="both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instituição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financeira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vencedora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terá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exclusividade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no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processamento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7"/>
          <w:sz w:val="22"/>
        </w:rPr>
        <w:t xml:space="preserve"> </w:t>
      </w:r>
      <w:r>
        <w:rPr>
          <w:i/>
          <w:spacing w:val="-2"/>
          <w:sz w:val="22"/>
        </w:rPr>
        <w:t>folha?</w:t>
      </w:r>
    </w:p>
    <w:p>
      <w:pPr>
        <w:pStyle w:val="Ttulo1"/>
        <w:spacing w:before="37" w:after="0"/>
        <w:rPr/>
      </w:pPr>
      <w:r>
        <w:rPr>
          <w:color w:val="0000FF"/>
          <w:spacing w:val="-2"/>
        </w:rPr>
        <w:t>RESPOSTA: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Sim.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2" w:leader="none"/>
        </w:tabs>
        <w:spacing w:lineRule="auto" w:line="276" w:before="0" w:after="0"/>
        <w:ind w:left="23" w:right="41" w:hanging="0"/>
        <w:jc w:val="both"/>
        <w:rPr>
          <w:i/>
          <w:i/>
          <w:sz w:val="22"/>
        </w:rPr>
      </w:pPr>
      <w:r>
        <w:rPr>
          <w:i/>
          <w:sz w:val="22"/>
        </w:rPr>
        <w:t>A instituição financeira vencedora terá exclusividade na utilização dos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imóveis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ocupados pela(s) entidades(s) envolvida(s) neste processo, bem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como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exclusividade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realização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de propaganda, divulgação e venda de produtos bancários?</w:t>
      </w:r>
    </w:p>
    <w:p>
      <w:pPr>
        <w:pStyle w:val="Ttulo1"/>
        <w:spacing w:lineRule="auto" w:line="276"/>
        <w:ind w:left="23" w:right="39" w:hanging="0"/>
        <w:rPr/>
      </w:pPr>
      <w:r>
        <w:rPr>
          <w:color w:val="0000FF"/>
        </w:rPr>
        <w:t>RESPOSTA: Não será única com acesso aos imóveis pertencentes à Administração direta e indireta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e Não será única que poderá vender/comercializar produtos financeiros aos servidores municipais, já que não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licitação.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Porém,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será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única a realizar propaganda, divulgação e oferta de produtos bancários referentes a conta que o servidor esteja vinculado a instituição bancária vencedora.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both"/>
        <w:rPr/>
      </w:pPr>
      <w:r>
        <w:rPr/>
        <w:t>Acerca</w:t>
      </w:r>
      <w:r>
        <w:rPr>
          <w:spacing w:val="-10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atual</w:t>
      </w:r>
      <w:r>
        <w:rPr>
          <w:spacing w:val="-8"/>
        </w:rPr>
        <w:t xml:space="preserve"> </w:t>
      </w:r>
      <w:r>
        <w:rPr/>
        <w:t>contrato,</w:t>
      </w:r>
      <w:r>
        <w:rPr>
          <w:spacing w:val="-7"/>
        </w:rPr>
        <w:t xml:space="preserve"> </w:t>
      </w:r>
      <w:r>
        <w:rPr/>
        <w:t>pergunta-</w:t>
      </w:r>
      <w:r>
        <w:rPr>
          <w:spacing w:val="-5"/>
        </w:rPr>
        <w:t>se: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38" w:after="0"/>
        <w:ind w:left="277" w:right="0" w:hanging="254"/>
        <w:jc w:val="both"/>
        <w:rPr>
          <w:i/>
          <w:i/>
          <w:sz w:val="22"/>
        </w:rPr>
      </w:pPr>
      <w:r>
        <w:rPr>
          <w:i/>
          <w:sz w:val="22"/>
        </w:rPr>
        <w:t>Existe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contrato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vigente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processamento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folha?</w:t>
      </w:r>
    </w:p>
    <w:p>
      <w:pPr>
        <w:pStyle w:val="Ttulo1"/>
        <w:spacing w:lineRule="auto" w:line="276" w:before="38" w:after="0"/>
        <w:ind w:left="23" w:right="36" w:hanging="0"/>
        <w:rPr/>
      </w:pPr>
      <w:r>
        <w:rPr>
          <w:color w:val="0000FF"/>
        </w:rPr>
        <w:t>RESPOSTA: Não, no momento a folha de pessoal está sendo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processada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pelo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Banco Itaú Unibanco S/A, detentora do último contrato, até a assinatura do contrato com o vencedor do atual certame.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07" w:leader="none"/>
        </w:tabs>
        <w:spacing w:lineRule="auto" w:line="276" w:before="0" w:after="0"/>
        <w:ind w:left="23" w:right="42" w:hanging="0"/>
        <w:jc w:val="both"/>
        <w:rPr>
          <w:i/>
          <w:i/>
          <w:sz w:val="22"/>
        </w:rPr>
      </w:pPr>
      <w:r>
        <w:rPr>
          <w:i/>
          <w:sz w:val="22"/>
        </w:rPr>
        <w:t>Se sim, qual a data de encerramento desse contrato? Neste mesmo sentido, pedimos ratificar o entendimento de que o novo contrato a ser firmado, iniciará sua vigência ao término do contrato atual.</w:t>
      </w:r>
    </w:p>
    <w:p>
      <w:pPr>
        <w:pStyle w:val="Ttulo1"/>
        <w:spacing w:lineRule="auto" w:line="276"/>
        <w:ind w:left="23" w:right="45" w:hanging="0"/>
        <w:rPr/>
      </w:pPr>
      <w:r>
        <w:rPr>
          <w:color w:val="0000FF"/>
        </w:rPr>
        <w:t>RESPOSTA: A instituição vencedora será convocada para a assinatura do contrato conforme o item 26.1 do edital com a data de início do contrato.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65" w:leader="none"/>
        </w:tabs>
        <w:spacing w:lineRule="auto" w:line="240" w:before="0" w:after="0"/>
        <w:ind w:left="265" w:right="0" w:hanging="242"/>
        <w:jc w:val="both"/>
        <w:rPr>
          <w:i/>
          <w:i/>
          <w:sz w:val="22"/>
        </w:rPr>
      </w:pPr>
      <w:r>
        <w:rPr>
          <w:i/>
          <w:sz w:val="22"/>
        </w:rPr>
        <w:t>Pedimos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disponibilizar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cópia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atual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contrato,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haja.</w:t>
      </w:r>
    </w:p>
    <w:p>
      <w:pPr>
        <w:pStyle w:val="Ttulo1"/>
        <w:spacing w:lineRule="auto" w:line="276" w:before="38" w:after="0"/>
        <w:ind w:left="23" w:right="43" w:hanging="0"/>
        <w:rPr/>
      </w:pPr>
      <w:r>
        <w:rPr>
          <w:color w:val="0000FF"/>
        </w:rPr>
        <w:t xml:space="preserve">RESPOSTA: Todos os contratos desta municipalidade estão disponíveis do Portal </w:t>
      </w:r>
      <w:r>
        <w:rPr>
          <w:color w:val="0000FF"/>
          <w:spacing w:val="-2"/>
        </w:rPr>
        <w:t>Transparência.²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322" w:leader="none"/>
        </w:tabs>
        <w:spacing w:lineRule="auto" w:line="276" w:before="0" w:after="0"/>
        <w:ind w:left="23" w:right="39" w:hanging="0"/>
        <w:jc w:val="both"/>
        <w:rPr/>
      </w:pPr>
      <w:r>
        <w:rPr/>
        <w:t>Considerando a complexidade da abertura das contas salário, pedimos informar qual o prazo de envio dos dados necessários para abertura das contas, sendo ele: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7" w:leader="none"/>
        </w:tabs>
        <w:spacing w:lineRule="auto" w:line="276" w:before="0" w:after="0"/>
        <w:ind w:left="23" w:right="38" w:hanging="0"/>
        <w:jc w:val="both"/>
        <w:rPr>
          <w:i/>
          <w:i/>
          <w:sz w:val="22"/>
        </w:rPr>
      </w:pPr>
      <w:r>
        <w:rPr>
          <w:i/>
          <w:sz w:val="22"/>
        </w:rPr>
        <w:t>i) Nome completo ii) Número de CPF e RG; iii) Data de Nascimento; iv) Sexo; v) Nacionalidade; vi) Naturalidade; vii) Endereço residencial completo, inclusive CEP; viii) Telefone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DDD;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ix)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Código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Profissão;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x)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Renda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mensal;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xi)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Nome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completo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Mãe. </w:t>
      </w:r>
      <w:r>
        <w:rPr>
          <w:b/>
          <w:color w:val="0000FF"/>
          <w:sz w:val="22"/>
        </w:rPr>
        <w:t>RESPOSTA: A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instituição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vencedora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deverá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proceder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conforme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item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12.3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do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Termo</w:t>
      </w:r>
      <w:r>
        <w:rPr>
          <w:b/>
          <w:color w:val="0000FF"/>
          <w:spacing w:val="-7"/>
          <w:sz w:val="22"/>
        </w:rPr>
        <w:t xml:space="preserve"> </w:t>
      </w:r>
      <w:r>
        <w:rPr>
          <w:b/>
          <w:color w:val="0000FF"/>
          <w:sz w:val="22"/>
        </w:rPr>
        <w:t>de Referência e 22.3 do Edital.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both"/>
        <w:rPr/>
      </w:pPr>
      <w:r>
        <w:rPr/>
        <w:t>Em</w:t>
      </w:r>
      <w:r>
        <w:rPr>
          <w:spacing w:val="-6"/>
        </w:rPr>
        <w:t xml:space="preserve"> </w:t>
      </w:r>
      <w:r>
        <w:rPr/>
        <w:t>relação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pirâmide</w:t>
      </w:r>
      <w:r>
        <w:rPr>
          <w:spacing w:val="-5"/>
        </w:rPr>
        <w:t xml:space="preserve"> </w:t>
      </w:r>
      <w:r>
        <w:rPr/>
        <w:t>salarial,</w:t>
      </w:r>
      <w:r>
        <w:rPr>
          <w:spacing w:val="-5"/>
        </w:rPr>
        <w:t xml:space="preserve"> </w:t>
      </w:r>
      <w:r>
        <w:rPr>
          <w:spacing w:val="-2"/>
        </w:rPr>
        <w:t>pedimos: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38" w:after="0"/>
        <w:ind w:left="277" w:right="0" w:hanging="254"/>
        <w:jc w:val="both"/>
        <w:rPr>
          <w:i/>
          <w:i/>
          <w:sz w:val="22"/>
        </w:rPr>
      </w:pPr>
      <w:r>
        <w:rPr>
          <w:i/>
          <w:sz w:val="22"/>
        </w:rPr>
        <w:t>Seja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disponibilizada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conforme</w:t>
      </w:r>
      <w:r>
        <w:rPr>
          <w:i/>
          <w:spacing w:val="-9"/>
          <w:sz w:val="22"/>
        </w:rPr>
        <w:t xml:space="preserve"> </w:t>
      </w:r>
      <w:r>
        <w:rPr>
          <w:i/>
          <w:spacing w:val="-2"/>
          <w:sz w:val="22"/>
        </w:rPr>
        <w:t>abaixo</w:t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Ttulo1"/>
        <w:spacing w:lineRule="auto" w:line="276" w:before="38" w:after="0"/>
        <w:ind w:left="23" w:right="41" w:hanging="0"/>
        <w:rPr/>
      </w:pPr>
      <w:r>
        <w:rPr>
          <w:color w:val="0000FF"/>
        </w:rPr>
        <w:t>RESPOSTA: Essa informação é irrelevante para a licitação, pois nos itens 4.1.1,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4.1.2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e 4.1.3 do Termo de referência já estão dispostos os quantitativos de servidores que recebem seus vencimentos pelo Município de Itaboraí e a pirâmide salarial.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7" w:leader="none"/>
        </w:tabs>
        <w:spacing w:lineRule="auto" w:line="276" w:before="80" w:after="0"/>
        <w:ind w:left="23" w:right="42" w:hanging="0"/>
        <w:jc w:val="both"/>
        <w:rPr>
          <w:i/>
          <w:i/>
          <w:sz w:val="22"/>
        </w:rPr>
      </w:pPr>
      <w:r>
        <w:rPr>
          <w:i/>
          <w:sz w:val="22"/>
        </w:rPr>
        <w:t xml:space="preserve">Que seja informada a quantidade de CPF’s constantes nesse processo de folha de </w:t>
      </w:r>
      <w:r>
        <w:rPr>
          <w:i/>
          <w:spacing w:val="-2"/>
          <w:sz w:val="22"/>
        </w:rPr>
        <w:t>pagamento.</w:t>
      </w:r>
    </w:p>
    <w:p>
      <w:pPr>
        <w:pStyle w:val="Ttulo1"/>
        <w:spacing w:lineRule="auto" w:line="276"/>
        <w:ind w:left="23" w:right="38" w:hanging="0"/>
        <w:rPr/>
      </w:pPr>
      <w:r>
        <w:rPr>
          <w:color w:val="0000FF"/>
        </w:rPr>
        <w:t>RESPOSTA: Essa informação já está disponível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nos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4.1.1,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4.1.2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4.1.3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Termo de referência que estão dispostos os quantitativos de servidores que recebem seus vencimentos pelo Município de Itaboraí e a pirâmide salarial.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5" w:leader="none"/>
        </w:tabs>
        <w:spacing w:lineRule="auto" w:line="276" w:before="1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 xml:space="preserve">Que seja informada a quantidade de matrículas constantes nesse processo de folha de </w:t>
      </w:r>
      <w:r>
        <w:rPr>
          <w:i/>
          <w:spacing w:val="-2"/>
          <w:sz w:val="22"/>
        </w:rPr>
        <w:t>pagamento.</w:t>
      </w:r>
    </w:p>
    <w:p>
      <w:pPr>
        <w:pStyle w:val="Ttulo1"/>
        <w:spacing w:lineRule="auto" w:line="276"/>
        <w:ind w:left="23" w:right="38" w:hanging="0"/>
        <w:rPr/>
      </w:pPr>
      <w:r>
        <w:rPr>
          <w:color w:val="0000FF"/>
        </w:rPr>
        <w:t>RESPOSTA: Essa informação já está disponível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nos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4.1.1,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4.1.2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4.1.3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Termo de referência.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07" w:leader="none"/>
        </w:tabs>
        <w:spacing w:lineRule="auto" w:line="276" w:before="1" w:after="0"/>
        <w:ind w:left="23" w:right="48" w:hanging="0"/>
        <w:jc w:val="both"/>
        <w:rPr>
          <w:i/>
          <w:i/>
          <w:sz w:val="22"/>
        </w:rPr>
      </w:pPr>
      <w:r>
        <w:rPr>
          <w:i/>
          <w:sz w:val="22"/>
        </w:rPr>
        <w:t>Caso o processo seja para mais de uma entidade, solicitamos esclarecer quais os tipos de vínculos com esta Entidade (por exemplo: comissionados, efetivos, inativos, pensionistas, estagiários, temporários e bolsistas).</w:t>
      </w:r>
    </w:p>
    <w:p>
      <w:pPr>
        <w:pStyle w:val="Ttulo1"/>
        <w:spacing w:lineRule="auto" w:line="276"/>
        <w:ind w:left="23" w:right="38" w:hanging="0"/>
        <w:rPr/>
      </w:pPr>
      <w:r>
        <w:rPr>
          <w:color w:val="0000FF"/>
        </w:rPr>
        <w:t>RESPOSTA: Essa informação já está disponível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nos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itens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4.1.1,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4.1.2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4.1.3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Termo de referência.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2" w:leader="none"/>
        </w:tabs>
        <w:spacing w:lineRule="auto" w:line="276" w:before="1" w:after="0"/>
        <w:ind w:left="23" w:right="35" w:hanging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  <w:t>Considerando que o site da Secretaria do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Tesouro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Nacional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STN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disponibiliza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um painel onde apresenta uma simulação da situação fiscal dos entes subnacionais a respeito de sua elegibilidade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para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obtenção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operação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crédito.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Pergunta-se:</w:t>
      </w:r>
      <w:r>
        <w:rPr>
          <w:b/>
          <w:i/>
          <w:spacing w:val="-4"/>
          <w:sz w:val="22"/>
        </w:rPr>
        <w:t xml:space="preserve"> </w:t>
      </w:r>
      <w:r>
        <w:rPr>
          <w:i/>
          <w:sz w:val="22"/>
        </w:rPr>
        <w:t>esta entidade pública possui seus dados e informações contábeis atualizados junto à STN,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a respectiva atribuição de seu Rating? Caso não os tenha, qual é a providência que essa entidade pública tomará para obtenção de seu Rating atualizado?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possui.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Porém,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essa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informação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irrelevante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licitação.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left="277" w:right="0" w:hanging="254"/>
        <w:jc w:val="left"/>
        <w:rPr/>
      </w:pPr>
      <w:r>
        <w:rPr/>
        <w:t>Sobre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crédito</w:t>
      </w:r>
      <w:r>
        <w:rPr>
          <w:spacing w:val="-8"/>
        </w:rPr>
        <w:t xml:space="preserve"> </w:t>
      </w:r>
      <w:r>
        <w:rPr/>
        <w:t>consignado,</w:t>
      </w:r>
      <w:r>
        <w:rPr>
          <w:spacing w:val="-8"/>
        </w:rPr>
        <w:t xml:space="preserve"> </w:t>
      </w:r>
      <w:r>
        <w:rPr/>
        <w:t>pergunta-</w:t>
      </w:r>
      <w:r>
        <w:rPr>
          <w:spacing w:val="-5"/>
        </w:rPr>
        <w:t>se: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97" w:leader="none"/>
        </w:tabs>
        <w:spacing w:lineRule="auto" w:line="276" w:before="38" w:after="0"/>
        <w:ind w:left="23" w:right="36" w:hanging="0"/>
        <w:jc w:val="left"/>
        <w:rPr>
          <w:i/>
          <w:i/>
          <w:sz w:val="22"/>
        </w:rPr>
      </w:pPr>
      <w:r>
        <w:rPr>
          <w:i/>
          <w:sz w:val="22"/>
        </w:rPr>
        <w:t>Dos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servidores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efetivos,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qual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porcentagem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tem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100%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margem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consignável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comprometida?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Pedimos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ainda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 xml:space="preserve">que seja revelado qual a porcentagem de servidores que tem a margem parcialmente comprometida e qual a porcentagem que está livre. </w:t>
      </w:r>
      <w:r>
        <w:rPr>
          <w:b/>
          <w:color w:val="0000FF"/>
          <w:sz w:val="22"/>
        </w:rPr>
        <w:t>RESPOSTA: 97,14%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dos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servidores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possuem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a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margem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parcialmente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comprometida</w:t>
      </w:r>
      <w:r>
        <w:rPr>
          <w:b/>
          <w:color w:val="0000FF"/>
          <w:spacing w:val="-6"/>
          <w:sz w:val="22"/>
        </w:rPr>
        <w:t xml:space="preserve"> </w:t>
      </w:r>
      <w:r>
        <w:rPr>
          <w:b/>
          <w:color w:val="0000FF"/>
          <w:sz w:val="22"/>
        </w:rPr>
        <w:t>e 2,86% possuem a margem livre.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2" w:leader="none"/>
        </w:tabs>
        <w:spacing w:lineRule="auto" w:line="276" w:before="0" w:after="0"/>
        <w:ind w:left="23" w:right="41" w:hanging="0"/>
        <w:jc w:val="left"/>
        <w:rPr>
          <w:i/>
          <w:i/>
          <w:sz w:val="22"/>
        </w:rPr>
      </w:pPr>
      <w:r>
        <w:rPr>
          <w:i/>
          <w:sz w:val="22"/>
        </w:rPr>
        <w:t>Qual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modelo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averbação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utilizado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pela Prefeitura? Atualmente a Prefeitura utiliza alguma averbadora?</w:t>
      </w:r>
    </w:p>
    <w:p>
      <w:pPr>
        <w:pStyle w:val="Ttulo1"/>
        <w:spacing w:lineRule="auto" w:line="276"/>
        <w:ind w:left="23" w:right="41" w:hanging="0"/>
        <w:rPr/>
      </w:pPr>
      <w:r>
        <w:rPr>
          <w:color w:val="0000FF"/>
        </w:rPr>
        <w:t>RESPOSTA: O modelo é normatizado pela Lei Municipal nº 2.965/2022³.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averbadora atual é a Zetrasoft.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2" w:leader="none"/>
        </w:tabs>
        <w:spacing w:lineRule="auto" w:line="276" w:before="0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>Para a implantação da folha de pagamento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é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necessário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entidade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possua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conta(s) corrente em titularidade de seu CNPJ, bem como a estruturação do Internet Banking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Pessoa Jurídica, pelo qual os arquivos referentes a folha de pagamento trafegarão. Desta forma, pedimos que seja ratificado nosso entendimento que em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até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5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dias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assinatura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do contrato haverá a formalização e entrega dos documentos para abertura da(s) conta(s) mencionadas no canal Internet Banking Pessoa Jurídica.</w:t>
      </w:r>
    </w:p>
    <w:p>
      <w:pPr>
        <w:pStyle w:val="Ttulo1"/>
        <w:spacing w:lineRule="auto" w:line="276"/>
        <w:ind w:left="23" w:right="44" w:hanging="0"/>
        <w:rPr/>
      </w:pPr>
      <w:r>
        <w:rPr>
          <w:color w:val="0000FF"/>
        </w:rPr>
        <w:t>RESPOSTA: Este entendimento não está correto, pois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trata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situação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operacional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 ser tratada junto à licitante vencedora.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29" w:leader="none"/>
        </w:tabs>
        <w:spacing w:lineRule="auto" w:line="276" w:before="0" w:after="0"/>
        <w:ind w:left="23" w:right="36" w:hanging="0"/>
        <w:jc w:val="left"/>
        <w:rPr>
          <w:i/>
          <w:i/>
          <w:sz w:val="22"/>
        </w:rPr>
      </w:pPr>
      <w:r>
        <w:rPr>
          <w:i/>
          <w:sz w:val="22"/>
        </w:rPr>
        <w:t>Considerando que para viabilização do acesso do cliente e seus usuários máster(es)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e/ou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secundário(s)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no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Internet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Banking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instituição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financeira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é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responsabilidade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das</w:t>
      </w:r>
    </w:p>
    <w:p>
      <w:pPr>
        <w:pStyle w:val="Corpodotexto"/>
        <w:spacing w:lineRule="auto" w:line="276" w:before="80" w:after="0"/>
        <w:ind w:left="23" w:right="38" w:hanging="0"/>
        <w:jc w:val="both"/>
        <w:rPr/>
      </w:pPr>
      <w:r>
        <w:rPr/>
        <w:t>entidades abrangidas na licitação a realização do 1.º cadastro (definição dos usuários Masteres, Secundários, geração, emissão e assinatura do termo pelos responsáveis com poderes), bem como envio do Termo ao Atendimento Empresarial, indagamos se está correto o entendimento de que</w:t>
      </w:r>
      <w:r>
        <w:rPr>
          <w:spacing w:val="40"/>
        </w:rPr>
        <w:t xml:space="preserve"> </w:t>
      </w:r>
      <w:r>
        <w:rPr/>
        <w:t>em até 1 (um) dia após abertura da conta corrente, tal providência será realizada pelas entidades abrangidas na licitação, inclusive em relação a eventuais autarquias, fundações, sociedades de economia mista e empresas públicas, se houver e estiverem abrangidas no processo?</w:t>
      </w:r>
    </w:p>
    <w:p>
      <w:pPr>
        <w:pStyle w:val="Ttulo1"/>
        <w:spacing w:lineRule="auto" w:line="276"/>
        <w:ind w:left="23" w:right="42" w:hanging="0"/>
        <w:rPr/>
      </w:pPr>
      <w:r>
        <w:rPr>
          <w:color w:val="0000FF"/>
        </w:rPr>
        <w:t>RESPOSTA: Esta situação é irrelevante para a licitação, pois trata de situação operacional a ser tratada junto à licitante vencedora.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auto" w:line="276" w:before="1" w:after="0"/>
        <w:ind w:left="23" w:right="40" w:hanging="0"/>
        <w:jc w:val="both"/>
        <w:rPr>
          <w:i/>
          <w:i/>
          <w:sz w:val="22"/>
        </w:rPr>
      </w:pPr>
      <w:r>
        <w:rPr>
          <w:i/>
          <w:sz w:val="22"/>
        </w:rPr>
        <w:t>A entidade licitante está ciente de que o atraso na abertura das contas correntes das entidades públicas pagadoras e a contratação do Internet Banking Pessoa Jurídica impactam no prazo de Implantação da Folha de Pagamento e que o não atendimento dos prazos poderá ensejar atrasos no início dos serviços e, por consequência, impactos negativos na equação econômico-financeira do contrato?</w:t>
      </w:r>
    </w:p>
    <w:p>
      <w:pPr>
        <w:pStyle w:val="Ttulo1"/>
        <w:spacing w:lineRule="auto" w:line="276"/>
        <w:ind w:left="23" w:right="42" w:hanging="0"/>
        <w:rPr/>
      </w:pPr>
      <w:r>
        <w:rPr>
          <w:color w:val="0000FF"/>
        </w:rPr>
        <w:t>RESPOSTA: Esta situação é irrelevante para a licitação, pois trata de situação operacional a ser tratada junto à licitante vencedora.</w:t>
      </w:r>
    </w:p>
    <w:p>
      <w:pPr>
        <w:pStyle w:val="Corpodotexto"/>
        <w:spacing w:before="37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276" w:before="1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Tendo em vista que 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pagamentos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salários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benefícios,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nos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termos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Resolução 5058, do CMN-Bacen, deverão ocorrer por meio de crédito em conta salário, aderentes portanto às normas do Banco Central do Brasil, e que a abertura/movimentação da conta corrente é uma opção do servidor, todas as passagens do Edital e da minuta de contrato que mencionam que os créditos salariais e os benefícios serão pagos por conta corrente devem ser interpretados como crédito em conta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salário?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Sendo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confirmado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trata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 conta salário, serão assegurados aos beneficiários dos créditos apenas as gratuidades previstas na Circular BACEN nº 3.338/06 (conta salário) e na Resolução CMN nº 3.919/10 (conta corrente).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Sim,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está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correto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interpretados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como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crédito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conta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salário.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76" w:before="0" w:after="0"/>
        <w:ind w:left="23" w:right="35" w:hanging="0"/>
        <w:jc w:val="both"/>
        <w:rPr>
          <w:color w:val="000000"/>
        </w:rPr>
      </w:pPr>
      <w:r>
        <w:rPr>
          <w:i/>
          <w:color w:val="000000"/>
          <w:sz w:val="22"/>
        </w:rPr>
        <w:t>Está correto o entendimento de que os documentos poderão ser apresentados sem rubricas, sem numeração e sem apresentação de índice/sumário?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4" w:leader="none"/>
        </w:tabs>
        <w:spacing w:lineRule="auto" w:line="276" w:before="0" w:after="0"/>
        <w:ind w:left="23" w:right="35" w:hanging="0"/>
        <w:jc w:val="both"/>
        <w:rPr>
          <w:b/>
          <w:b/>
          <w:bCs/>
          <w:i w:val="false"/>
          <w:i w:val="false"/>
          <w:iCs w:val="false"/>
          <w:color w:val="0000FF"/>
        </w:rPr>
      </w:pPr>
      <w:r>
        <w:rPr>
          <w:b/>
          <w:bCs/>
          <w:i w:val="false"/>
          <w:iCs w:val="false"/>
          <w:color w:val="0000FF"/>
          <w:sz w:val="22"/>
        </w:rPr>
        <w:t>RESPOSTA: Sim.</w:t>
      </w:r>
    </w:p>
    <w:p>
      <w:pPr>
        <w:pStyle w:val="Ttulo1"/>
        <w:rPr>
          <w:color w:val="0000FF"/>
          <w:spacing w:val="-2"/>
        </w:rPr>
      </w:pPr>
      <w:r>
        <w:rPr/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399" w:leader="none"/>
        </w:tabs>
        <w:spacing w:lineRule="auto" w:line="240" w:before="0" w:after="0"/>
        <w:ind w:left="399" w:right="0" w:hanging="376"/>
        <w:jc w:val="both"/>
        <w:rPr/>
      </w:pPr>
      <w:r>
        <w:rPr/>
        <w:t>Em</w:t>
      </w:r>
      <w:r>
        <w:rPr>
          <w:spacing w:val="-9"/>
        </w:rPr>
        <w:t xml:space="preserve"> </w:t>
      </w:r>
      <w:r>
        <w:rPr/>
        <w:t>relação</w:t>
      </w:r>
      <w:r>
        <w:rPr>
          <w:spacing w:val="-6"/>
        </w:rPr>
        <w:t xml:space="preserve"> </w:t>
      </w:r>
      <w:r>
        <w:rPr/>
        <w:t>às</w:t>
      </w:r>
      <w:r>
        <w:rPr>
          <w:spacing w:val="-6"/>
        </w:rPr>
        <w:t xml:space="preserve"> </w:t>
      </w:r>
      <w:r>
        <w:rPr/>
        <w:t>exigências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infraestrutura,</w:t>
      </w:r>
      <w:r>
        <w:rPr>
          <w:spacing w:val="-6"/>
        </w:rPr>
        <w:t xml:space="preserve"> </w:t>
      </w:r>
      <w:r>
        <w:rPr>
          <w:spacing w:val="-2"/>
        </w:rPr>
        <w:t>questionamos: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2" w:leader="none"/>
        </w:tabs>
        <w:spacing w:lineRule="auto" w:line="276" w:before="38" w:after="0"/>
        <w:ind w:left="23" w:right="48" w:hanging="0"/>
        <w:jc w:val="both"/>
        <w:rPr>
          <w:i/>
          <w:i/>
          <w:sz w:val="22"/>
        </w:rPr>
      </w:pPr>
      <w:r>
        <w:rPr>
          <w:i/>
          <w:sz w:val="22"/>
        </w:rPr>
        <w:t>Caso a atual instituição financeira possua infraestrutura instalada nos imóveis ocupados pela Entidade Licitante, qual será o prazo para desocupação destes espaços?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até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30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dias.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2" w:leader="none"/>
        </w:tabs>
        <w:spacing w:lineRule="auto" w:line="276" w:before="0" w:after="0"/>
        <w:ind w:left="23" w:right="41" w:hanging="0"/>
        <w:jc w:val="both"/>
        <w:rPr>
          <w:i/>
          <w:i/>
          <w:sz w:val="22"/>
        </w:rPr>
      </w:pPr>
      <w:r>
        <w:rPr>
          <w:i/>
          <w:sz w:val="22"/>
        </w:rPr>
        <w:t>Caso seja exigida instalação de infraestrutura e, porventura, 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vencedora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possua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as instalações em comento, pedimos ratificar o entendimento de que o prazo para instalação será de 180 (cento e oitenta) até 270 (duzentos e setenta) dias, após a saída do atual </w:t>
      </w:r>
      <w:r>
        <w:rPr>
          <w:i/>
          <w:spacing w:val="-2"/>
          <w:sz w:val="22"/>
        </w:rPr>
        <w:t>banco.</w:t>
      </w:r>
    </w:p>
    <w:p>
      <w:pPr>
        <w:pStyle w:val="Ttulo1"/>
        <w:spacing w:lineRule="auto" w:line="276"/>
        <w:ind w:left="23" w:right="43" w:hanging="0"/>
        <w:rPr/>
      </w:pPr>
      <w:r>
        <w:rPr>
          <w:color w:val="0000FF"/>
        </w:rPr>
        <w:t>RESPOSTA: Este entendimento não está correto, pois conforme item 22.1 do edital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 vencedora já deverá indicar o local para atendimento aos servidores.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sectPr>
          <w:type w:val="nextPage"/>
          <w:pgSz w:w="11920" w:h="16838"/>
          <w:pgMar w:left="1417" w:right="1417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370" w:leader="none"/>
        </w:tabs>
        <w:spacing w:lineRule="auto" w:line="276" w:before="0" w:after="0"/>
        <w:ind w:left="23" w:right="41" w:hanging="0"/>
        <w:jc w:val="both"/>
        <w:rPr>
          <w:i/>
          <w:i/>
          <w:sz w:val="22"/>
        </w:rPr>
      </w:pPr>
      <w:r>
        <w:rPr>
          <w:i/>
          <w:sz w:val="22"/>
        </w:rPr>
        <w:t>Podemos considerar que a Prefeitura cederá os locais e infraestrutura para o atendimento</w:t>
      </w:r>
      <w:r>
        <w:rPr>
          <w:i/>
          <w:spacing w:val="70"/>
          <w:sz w:val="22"/>
        </w:rPr>
        <w:t xml:space="preserve"> </w:t>
      </w:r>
      <w:r>
        <w:rPr>
          <w:i/>
          <w:sz w:val="22"/>
        </w:rPr>
        <w:t>presencial</w:t>
      </w:r>
      <w:r>
        <w:rPr>
          <w:i/>
          <w:spacing w:val="70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70"/>
          <w:sz w:val="22"/>
        </w:rPr>
        <w:t xml:space="preserve"> </w:t>
      </w:r>
      <w:r>
        <w:rPr>
          <w:i/>
          <w:sz w:val="22"/>
        </w:rPr>
        <w:t>servidores:</w:t>
      </w:r>
      <w:r>
        <w:rPr>
          <w:i/>
          <w:spacing w:val="70"/>
          <w:sz w:val="22"/>
        </w:rPr>
        <w:t xml:space="preserve"> </w:t>
      </w:r>
      <w:r>
        <w:rPr>
          <w:i/>
          <w:sz w:val="22"/>
        </w:rPr>
        <w:t>i)</w:t>
      </w:r>
      <w:r>
        <w:rPr>
          <w:i/>
          <w:spacing w:val="70"/>
          <w:sz w:val="22"/>
        </w:rPr>
        <w:t xml:space="preserve"> </w:t>
      </w:r>
      <w:r>
        <w:rPr>
          <w:i/>
          <w:sz w:val="22"/>
        </w:rPr>
        <w:t>Mobiliário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(mesas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cadeiras);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ii)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Pontos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de</w:t>
      </w:r>
    </w:p>
    <w:p>
      <w:pPr>
        <w:pStyle w:val="Corpodotexto"/>
        <w:spacing w:lineRule="auto" w:line="276" w:before="80" w:after="0"/>
        <w:ind w:left="23" w:right="47" w:hanging="0"/>
        <w:jc w:val="both"/>
        <w:rPr/>
      </w:pPr>
      <w:r>
        <w:rPr/>
        <w:t>elétrica; iii) Condições adequadas para o atendimento: banheiro, bebedouro, ventilação adequada, limpeza e segurança do local?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Este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entendimento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está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7" w:leader="none"/>
        </w:tabs>
        <w:spacing w:lineRule="auto" w:line="240" w:before="1" w:after="0"/>
        <w:ind w:left="277" w:right="0" w:hanging="254"/>
        <w:jc w:val="left"/>
        <w:rPr>
          <w:i/>
          <w:i/>
          <w:sz w:val="22"/>
        </w:rPr>
      </w:pPr>
      <w:r>
        <w:rPr>
          <w:i/>
          <w:sz w:val="22"/>
        </w:rPr>
        <w:t>Adicionalmente,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podemos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considerar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Prefeitura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cederá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WiFi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nestes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locais?</w:t>
      </w:r>
    </w:p>
    <w:p>
      <w:pPr>
        <w:pStyle w:val="Ttulo1"/>
        <w:spacing w:before="38" w:after="0"/>
        <w:rPr/>
      </w:pPr>
      <w:r>
        <w:rPr>
          <w:color w:val="0000FF"/>
        </w:rPr>
        <w:t>RESPOSTA: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Este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entendimento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está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5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92" w:leader="none"/>
        </w:tabs>
        <w:spacing w:lineRule="auto" w:line="276" w:before="0" w:after="0"/>
        <w:ind w:left="23" w:right="38" w:hanging="0"/>
        <w:jc w:val="both"/>
        <w:rPr>
          <w:i/>
          <w:i/>
          <w:sz w:val="22"/>
        </w:rPr>
      </w:pPr>
      <w:r>
        <w:rPr>
          <w:i/>
          <w:sz w:val="22"/>
        </w:rPr>
        <w:t>Neste mesmo sentido, caso a vencedora possua agência no município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por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outro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lado, seja exigida a instalação de quaisquer infraestruturas para atendimento bancário, pedimos ratificar o nosso entendimento de que a agência já instalada suprirá a necessidade da </w:t>
      </w:r>
      <w:r>
        <w:rPr>
          <w:i/>
          <w:spacing w:val="-2"/>
          <w:sz w:val="22"/>
        </w:rPr>
        <w:t>infraestrutura.</w:t>
      </w:r>
    </w:p>
    <w:p>
      <w:pPr>
        <w:pStyle w:val="Ttulo1"/>
        <w:rPr/>
      </w:pPr>
      <w:r>
        <w:rPr>
          <w:color w:val="0000FF"/>
        </w:rPr>
        <w:t>RESPOSTA: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Este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entendimento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está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correto.</w:t>
      </w:r>
    </w:p>
    <w:p>
      <w:pPr>
        <w:pStyle w:val="Corpodotexto"/>
        <w:spacing w:before="76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Ttulo2"/>
        <w:numPr>
          <w:ilvl w:val="0"/>
          <w:numId w:val="1"/>
        </w:numPr>
        <w:tabs>
          <w:tab w:val="clear" w:pos="720"/>
          <w:tab w:val="left" w:pos="399" w:leader="none"/>
        </w:tabs>
        <w:spacing w:lineRule="auto" w:line="240" w:before="0" w:after="0"/>
        <w:ind w:left="399" w:right="0" w:hanging="376"/>
        <w:jc w:val="left"/>
        <w:rPr/>
      </w:pPr>
      <w:r>
        <w:rPr/>
        <w:t>Em</w:t>
      </w:r>
      <w:r>
        <w:rPr>
          <w:spacing w:val="-5"/>
        </w:rPr>
        <w:t xml:space="preserve"> </w:t>
      </w:r>
      <w:r>
        <w:rPr/>
        <w:t>relação</w:t>
      </w:r>
      <w:r>
        <w:rPr>
          <w:spacing w:val="-4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prestação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serviços: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67" w:leader="none"/>
          <w:tab w:val="left" w:pos="1126" w:leader="none"/>
          <w:tab w:val="left" w:pos="1874" w:leader="none"/>
          <w:tab w:val="left" w:pos="2403" w:leader="none"/>
          <w:tab w:val="left" w:pos="3506" w:leader="none"/>
          <w:tab w:val="left" w:pos="5758" w:leader="none"/>
          <w:tab w:val="left" w:pos="6092" w:leader="none"/>
          <w:tab w:val="left" w:pos="7011" w:leader="none"/>
          <w:tab w:val="left" w:pos="7663" w:leader="none"/>
        </w:tabs>
        <w:spacing w:lineRule="auto" w:line="276" w:before="38" w:after="0"/>
        <w:ind w:left="23" w:right="38" w:hanging="0"/>
        <w:jc w:val="left"/>
        <w:rPr>
          <w:i/>
          <w:i/>
          <w:sz w:val="22"/>
        </w:rPr>
      </w:pPr>
      <w:r>
        <w:rPr>
          <w:i/>
          <w:sz w:val="22"/>
        </w:rPr>
        <w:t>Considerando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complexidade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iniciar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prestação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serviços,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em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>razão</w:t>
      </w:r>
      <w:r>
        <w:rPr>
          <w:i/>
          <w:spacing w:val="71"/>
          <w:sz w:val="22"/>
        </w:rPr>
        <w:t xml:space="preserve"> </w:t>
      </w:r>
      <w:r>
        <w:rPr>
          <w:i/>
          <w:sz w:val="22"/>
        </w:rPr>
        <w:t xml:space="preserve">de </w:t>
      </w:r>
      <w:r>
        <w:rPr>
          <w:i/>
          <w:spacing w:val="-2"/>
          <w:sz w:val="22"/>
        </w:rPr>
        <w:t>questões</w:t>
      </w:r>
      <w:r>
        <w:rPr>
          <w:i/>
          <w:sz w:val="22"/>
        </w:rPr>
        <w:tab/>
      </w:r>
      <w:r>
        <w:rPr>
          <w:i/>
          <w:spacing w:val="-4"/>
          <w:sz w:val="22"/>
        </w:rPr>
        <w:t>como</w:t>
      </w:r>
      <w:r>
        <w:rPr>
          <w:i/>
          <w:sz w:val="22"/>
        </w:rPr>
        <w:tab/>
      </w:r>
      <w:r>
        <w:rPr>
          <w:i/>
          <w:spacing w:val="-4"/>
          <w:sz w:val="22"/>
        </w:rPr>
        <w:t>por</w:t>
      </w:r>
      <w:r>
        <w:rPr>
          <w:i/>
          <w:sz w:val="22"/>
        </w:rPr>
        <w:tab/>
      </w:r>
      <w:r>
        <w:rPr>
          <w:i/>
          <w:spacing w:val="-2"/>
          <w:sz w:val="22"/>
        </w:rPr>
        <w:t>exemplo:</w:t>
      </w:r>
      <w:r>
        <w:rPr>
          <w:i/>
          <w:sz w:val="22"/>
        </w:rPr>
        <w:tab/>
      </w:r>
      <w:r>
        <w:rPr>
          <w:i/>
          <w:spacing w:val="-2"/>
          <w:sz w:val="22"/>
        </w:rPr>
        <w:t>autorização/cadastro</w:t>
      </w:r>
      <w:r>
        <w:rPr>
          <w:i/>
          <w:sz w:val="22"/>
        </w:rPr>
        <w:tab/>
      </w:r>
      <w:r>
        <w:rPr>
          <w:i/>
          <w:spacing w:val="-10"/>
          <w:sz w:val="22"/>
        </w:rPr>
        <w:t>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alvarás</w:t>
      </w:r>
      <w:r>
        <w:rPr>
          <w:i/>
          <w:sz w:val="22"/>
        </w:rPr>
        <w:tab/>
      </w:r>
      <w:r>
        <w:rPr>
          <w:i/>
          <w:spacing w:val="-4"/>
          <w:sz w:val="22"/>
        </w:rPr>
        <w:t>para</w:t>
      </w:r>
      <w:r>
        <w:rPr>
          <w:i/>
          <w:sz w:val="22"/>
        </w:rPr>
        <w:tab/>
        <w:t>as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entidades competentes,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como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também obter as informações dos servidores para a abertura devida das contas, questionamos: “está correto o entendimento de que será concedido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prazo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de 90 (noventa) até 270 (duzentos e setenta) dias para início da prestação de serviços?” </w:t>
      </w:r>
      <w:r>
        <w:rPr>
          <w:b/>
          <w:color w:val="0000FF"/>
          <w:sz w:val="22"/>
        </w:rPr>
        <w:t>RESPOSTA: Este entendimento não está correto, vide item 22.3 do edital.</w:t>
      </w:r>
    </w:p>
    <w:p>
      <w:pPr>
        <w:pStyle w:val="Corpodotex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0" w:leader="none"/>
        </w:tabs>
        <w:spacing w:lineRule="auto" w:line="276" w:before="0" w:after="0"/>
        <w:ind w:left="23" w:right="36" w:hanging="0"/>
        <w:jc w:val="both"/>
        <w:rPr>
          <w:i/>
          <w:i/>
          <w:sz w:val="22"/>
        </w:rPr>
      </w:pPr>
      <w:r>
        <w:rPr>
          <w:i/>
          <w:sz w:val="22"/>
        </w:rPr>
        <w:t>Considerando a impossibilidade dos órgãos públicos em efetuar o processamento e gerenciamento de suas folhas de pagamento, são necessárias realizações de licitações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para a venda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desta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folha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como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um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ativo,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alavancando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assim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ganhos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erário.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sagrar vencedora desse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certame,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Instituição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Financeira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torna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detentora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direto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processar e gerenciar essa folha de pagamento do órgão, sendo assim, considerando que o valor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pago pela folha engloba o direito de gerenciamento de toda a esfera municipal/estadual, questionamos: "está correto o entendimento de que 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órgão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licitante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compromete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abrir uma conta específica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gerenciamento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pagamento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contas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atreladas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FUNDEB junto a Instituição Financeira vencedora do certame?"</w:t>
      </w:r>
    </w:p>
    <w:p>
      <w:pPr>
        <w:pStyle w:val="Normal"/>
        <w:spacing w:before="0" w:after="0"/>
        <w:ind w:left="23" w:right="0" w:hanging="0"/>
        <w:jc w:val="both"/>
        <w:rPr>
          <w:b/>
          <w:b/>
          <w:sz w:val="22"/>
        </w:rPr>
      </w:pPr>
      <w:r>
        <w:rPr>
          <w:b/>
          <w:color w:val="0000FF"/>
          <w:sz w:val="22"/>
        </w:rPr>
        <w:t>RESPOSTA:</w:t>
      </w:r>
      <w:r>
        <w:rPr>
          <w:b/>
          <w:color w:val="0000FF"/>
          <w:spacing w:val="-12"/>
          <w:sz w:val="22"/>
        </w:rPr>
        <w:t xml:space="preserve"> </w:t>
      </w:r>
      <w:r>
        <w:rPr>
          <w:b/>
          <w:color w:val="0000FF"/>
          <w:sz w:val="22"/>
        </w:rPr>
        <w:t>Este</w:t>
      </w:r>
      <w:r>
        <w:rPr>
          <w:b/>
          <w:color w:val="0000FF"/>
          <w:spacing w:val="-11"/>
          <w:sz w:val="22"/>
        </w:rPr>
        <w:t xml:space="preserve"> </w:t>
      </w:r>
      <w:r>
        <w:rPr>
          <w:b/>
          <w:color w:val="0000FF"/>
          <w:sz w:val="22"/>
        </w:rPr>
        <w:t>entendimento</w:t>
      </w:r>
      <w:r>
        <w:rPr>
          <w:b/>
          <w:color w:val="0000FF"/>
          <w:spacing w:val="-11"/>
          <w:sz w:val="22"/>
        </w:rPr>
        <w:t xml:space="preserve"> </w:t>
      </w:r>
      <w:r>
        <w:rPr>
          <w:b/>
          <w:color w:val="0000FF"/>
          <w:sz w:val="22"/>
        </w:rPr>
        <w:t>está</w:t>
      </w:r>
      <w:r>
        <w:rPr>
          <w:b/>
          <w:color w:val="0000FF"/>
          <w:spacing w:val="-11"/>
          <w:sz w:val="22"/>
        </w:rPr>
        <w:t xml:space="preserve"> </w:t>
      </w:r>
      <w:r>
        <w:rPr>
          <w:b/>
          <w:color w:val="0000FF"/>
          <w:spacing w:val="-2"/>
          <w:sz w:val="22"/>
        </w:rPr>
        <w:t>correto.</w:t>
      </w:r>
    </w:p>
    <w:sectPr>
      <w:type w:val="nextPage"/>
      <w:pgSz w:w="11920" w:h="16838"/>
      <w:pgMar w:left="1417" w:right="1417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79" w:hanging="257"/>
      </w:pPr>
      <w:rPr>
        <w:spacing w:val="-1"/>
        <w:w w:val="100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" w:hanging="347"/>
      </w:pPr>
      <w:rPr>
        <w:spacing w:val="-1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8" w:hanging="34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36" w:hanging="34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5" w:hanging="34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93" w:hanging="34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72" w:hanging="34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50" w:hanging="34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9" w:hanging="34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3" w:right="0" w:hanging="0"/>
      <w:jc w:val="both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277" w:right="0" w:hanging="254"/>
      <w:jc w:val="both"/>
      <w:outlineLvl w:val="2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38" w:after="0"/>
    </w:pPr>
    <w:rPr>
      <w:rFonts w:ascii="Arial" w:hAnsi="Arial" w:eastAsia="Arial" w:cs="Arial"/>
      <w:i/>
      <w:i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3" w:right="0" w:hanging="0"/>
      <w:jc w:val="both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taborai.cespro.com.br/visualizarDiploma.php?cdMunicipio=6759&amp;cdDiploma=999942" TargetMode="External"/><Relationship Id="rId3" Type="http://schemas.openxmlformats.org/officeDocument/2006/relationships/hyperlink" Target="https://transparencianovo.ib.itaborai.rj.gov.br/" TargetMode="External"/><Relationship Id="rId4" Type="http://schemas.openxmlformats.org/officeDocument/2006/relationships/hyperlink" Target="https://cespro.com.br/visualizarDiploma.php?cdMunicipio=6759&amp;cdDiploma=202229651&amp;NroLei=2.965&amp;Word&amp;Word2" TargetMode="External"/><Relationship Id="rId5" Type="http://schemas.openxmlformats.org/officeDocument/2006/relationships/hyperlink" Target="https://cespro.com.br/visualizarDiploma.php?cdMunicipio=6759&amp;cdDiploma=202229651&amp;NroLei=2.965&amp;Word&amp;Word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5</Pages>
  <Words>1909</Words>
  <Characters>10993</Characters>
  <CharactersWithSpaces>12778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2025-02-12T18:36:59Z</dcterms:created>
  <dc:creator/>
  <dc:description/>
  <dc:language>pt-BR</dc:language>
  <cp:lastModifiedBy/>
  <dcterms:modified xsi:type="dcterms:W3CDTF">2025-02-12T16:29:55Z</dcterms:modified>
  <cp:revision>1</cp:revision>
  <dc:subject/>
  <dc:title>Resposta Itaú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Skia/PDF m134 Google Docs Renderer</vt:lpwstr>
  </property>
</Properties>
</file>