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Times New Roman" w:cs="Arial"/>
          <w:b/>
          <w:b/>
          <w:sz w:val="32"/>
          <w:szCs w:val="32"/>
          <w:u w:val="single"/>
          <w:lang w:eastAsia="pt-BR"/>
        </w:rPr>
      </w:pPr>
      <w:r>
        <w:rPr>
          <w:rFonts w:eastAsia="Times New Roman" w:cs="Arial" w:ascii="Arial" w:hAnsi="Arial"/>
          <w:b/>
          <w:sz w:val="32"/>
          <w:szCs w:val="32"/>
          <w:u w:val="single"/>
          <w:lang w:eastAsia="pt-BR"/>
        </w:rPr>
        <w:t xml:space="preserve"> </w:t>
      </w:r>
      <w:r>
        <w:rPr>
          <w:rFonts w:eastAsia="Times New Roman" w:cs="Arial" w:ascii="Arial" w:hAnsi="Arial"/>
          <w:b/>
          <w:sz w:val="32"/>
          <w:szCs w:val="32"/>
          <w:u w:val="single"/>
          <w:lang w:eastAsia="pt-BR"/>
        </w:rPr>
        <w:t>DECISÃO</w:t>
      </w:r>
    </w:p>
    <w:p>
      <w:pPr>
        <w:pStyle w:val="NoSpacing"/>
        <w:ind w:left="284" w:hanging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left="284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FEITO:</w:t>
      </w:r>
      <w:r>
        <w:rPr>
          <w:rFonts w:cs="Arial" w:ascii="Arial" w:hAnsi="Arial"/>
          <w:sz w:val="24"/>
          <w:szCs w:val="24"/>
        </w:rPr>
        <w:t xml:space="preserve"> </w:t>
        <w:tab/>
        <w:tab/>
        <w:tab/>
        <w:t>RECURSO ADMINISTRATIVO</w:t>
      </w:r>
    </w:p>
    <w:p>
      <w:pPr>
        <w:pStyle w:val="NoSpacing"/>
        <w:ind w:left="284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left="284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REFERÊNCIA</w:t>
      </w:r>
      <w:r>
        <w:rPr>
          <w:rFonts w:cs="Arial" w:ascii="Arial" w:hAnsi="Arial"/>
          <w:sz w:val="24"/>
          <w:szCs w:val="24"/>
        </w:rPr>
        <w:t xml:space="preserve">: </w:t>
        <w:tab/>
        <w:tab/>
        <w:t>CONCORRÊNCIA ELETRÔNICA Nº.: 006/2024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left="3544" w:hanging="25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OBJETO:  </w:t>
      </w:r>
      <w:r>
        <w:rPr>
          <w:rFonts w:cs="Arial" w:ascii="Arial" w:hAnsi="Arial"/>
          <w:sz w:val="24"/>
          <w:szCs w:val="24"/>
        </w:rPr>
        <w:t xml:space="preserve">       </w:t>
        <w:tab/>
        <w:t>“PAVIMENTAÇÃO ASFÁLTICA, DRENAGEM PLUVIAL E SINALIZAÇÃO URBANA NO BAIRRO ENGENHO VELHO.”</w:t>
      </w:r>
    </w:p>
    <w:p>
      <w:pPr>
        <w:pStyle w:val="NoSpacing"/>
        <w:ind w:left="284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left="3686" w:hanging="269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RECORRENTE:</w:t>
      </w:r>
      <w:r>
        <w:rPr>
          <w:rFonts w:cs="Arial" w:ascii="Arial" w:hAnsi="Arial"/>
          <w:sz w:val="24"/>
          <w:szCs w:val="24"/>
        </w:rPr>
        <w:tab/>
        <w:t>MCAP ENGENHARIA E INFRATECH ENGENHARIA LTDA</w:t>
      </w:r>
    </w:p>
    <w:p>
      <w:pPr>
        <w:pStyle w:val="NoSpacing"/>
        <w:ind w:left="3686" w:hanging="269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left="3686" w:hanging="269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CONTRARAZÃO:</w:t>
        <w:tab/>
      </w:r>
      <w:r>
        <w:rPr>
          <w:rFonts w:cs="Arial" w:ascii="Arial" w:hAnsi="Arial"/>
          <w:sz w:val="24"/>
          <w:szCs w:val="24"/>
        </w:rPr>
        <w:t>ELVIMA CONSTRUÇÕES LTDA</w:t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Spacing"/>
        <w:spacing w:lineRule="auto" w:line="276"/>
        <w:ind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A licitante </w:t>
      </w:r>
      <w:r>
        <w:rPr>
          <w:rFonts w:cs="Arial" w:ascii="Arial" w:hAnsi="Arial"/>
          <w:sz w:val="24"/>
          <w:szCs w:val="24"/>
        </w:rPr>
        <w:t>MCAP</w:t>
      </w:r>
      <w:r>
        <w:rPr>
          <w:rFonts w:eastAsia="Times New Roman" w:cs="Arial" w:ascii="Arial" w:hAnsi="Arial"/>
          <w:sz w:val="24"/>
          <w:szCs w:val="24"/>
          <w:lang w:eastAsia="pt-BR"/>
        </w:rPr>
        <w:t xml:space="preserve"> vem recorrer da decisão da Comissão Permanente de Licitação, que decidiu pela sua INABILITAÇÃO, pois a mesma não apresentou comprovação de possuir atestados de aptidão operacional com as parcelas de maior relevância e em seu recurso alegou suposta ilegalidade e restrição de competitividade na exigência do item 14.5.4.</w:t>
      </w:r>
    </w:p>
    <w:p>
      <w:pPr>
        <w:pStyle w:val="NoSpacing"/>
        <w:spacing w:lineRule="auto" w:line="276"/>
        <w:ind w:left="2124" w:hanging="0"/>
        <w:jc w:val="both"/>
        <w:rPr>
          <w:rFonts w:ascii="Arial" w:hAnsi="Arial" w:eastAsia="Times New Roman" w:cs="Arial"/>
          <w:i/>
          <w:i/>
          <w:sz w:val="24"/>
          <w:szCs w:val="24"/>
          <w:lang w:eastAsia="pt-BR"/>
        </w:rPr>
      </w:pPr>
      <w:r>
        <w:rPr>
          <w:rFonts w:eastAsia="Times New Roman" w:cs="Arial" w:ascii="Arial" w:hAnsi="Arial"/>
          <w:i/>
          <w:sz w:val="24"/>
          <w:szCs w:val="24"/>
          <w:lang w:eastAsia="pt-BR"/>
        </w:rPr>
        <w:t>“</w:t>
      </w:r>
      <w:r>
        <w:rPr>
          <w:rFonts w:eastAsia="Times New Roman" w:cs="Arial" w:ascii="Arial" w:hAnsi="Arial"/>
          <w:i/>
          <w:sz w:val="24"/>
          <w:szCs w:val="24"/>
          <w:lang w:eastAsia="pt-BR"/>
        </w:rPr>
        <w:t xml:space="preserve">14.5.4 - Comprovação de que o </w:t>
      </w:r>
      <w:r>
        <w:rPr>
          <w:rFonts w:eastAsia="Times New Roman" w:cs="Arial" w:ascii="Arial" w:hAnsi="Arial"/>
          <w:b/>
          <w:i/>
          <w:sz w:val="24"/>
          <w:szCs w:val="24"/>
          <w:lang w:eastAsia="pt-BR"/>
        </w:rPr>
        <w:t>licitante (pessoa jurídica)</w:t>
      </w:r>
      <w:r>
        <w:rPr>
          <w:rFonts w:eastAsia="Times New Roman" w:cs="Arial" w:ascii="Arial" w:hAnsi="Arial"/>
          <w:i/>
          <w:sz w:val="24"/>
          <w:szCs w:val="24"/>
          <w:lang w:eastAsia="pt-BR"/>
        </w:rPr>
        <w:t xml:space="preserve"> tenha aptidão para a execução dos serviços descritos no Projeto Básico, que comtemplem, no mínimo, 40% (quarenta por cento) dos quantitativos das parcelas de maior relevância técnica, a saber:”</w:t>
      </w:r>
    </w:p>
    <w:p>
      <w:pPr>
        <w:pStyle w:val="NoSpacing"/>
        <w:spacing w:lineRule="auto" w:line="276"/>
        <w:ind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Spacing"/>
        <w:spacing w:lineRule="auto" w:line="27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A princípio, potuamos  que a empresa questionou a legalidade do solicitado no item 14.5.4, </w:t>
      </w:r>
      <w:r>
        <w:rPr>
          <w:rFonts w:cs="Arial" w:ascii="Arial" w:hAnsi="Arial"/>
          <w:sz w:val="24"/>
          <w:szCs w:val="24"/>
        </w:rPr>
        <w:t>contudo a recorrida não impugnou o edital e tão pouco contestou a supressão ou a alteração do item em tempo hábil.</w:t>
      </w:r>
    </w:p>
    <w:p>
      <w:pPr>
        <w:pStyle w:val="NoSpacing"/>
        <w:spacing w:lineRule="auto" w:line="27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Não obstante, esclarecemos que é lícito solicitar comprovação de aptidão técnica operacional, desde que limitada às parcelas de maior relevância. Ademais, esta administração entende que para uma determinada empresa realizar a obra desejada, é imperioso que ela comprove que possui a capacidade de executar os serviços demandados através de atestados.</w:t>
      </w:r>
    </w:p>
    <w:p>
      <w:pPr>
        <w:pStyle w:val="NoSpacing"/>
        <w:spacing w:lineRule="auto" w:line="27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Conforme Marçal Justen Filho:</w:t>
      </w:r>
    </w:p>
    <w:p>
      <w:pPr>
        <w:pStyle w:val="NoSpacing"/>
        <w:spacing w:lineRule="auto" w:line="27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ind w:left="2124" w:hanging="0"/>
        <w:jc w:val="both"/>
        <w:rPr>
          <w:rFonts w:ascii="Arial" w:hAnsi="Arial" w:eastAsia="Times New Roman" w:cs="Arial"/>
          <w:i/>
          <w:i/>
          <w:sz w:val="24"/>
          <w:szCs w:val="24"/>
          <w:lang w:eastAsia="pt-BR"/>
        </w:rPr>
      </w:pPr>
      <w:r>
        <w:rPr>
          <w:rFonts w:eastAsia="Times New Roman" w:cs="Arial" w:ascii="Arial" w:hAnsi="Arial"/>
          <w:i/>
          <w:sz w:val="24"/>
          <w:szCs w:val="24"/>
          <w:lang w:eastAsia="pt-BR"/>
        </w:rPr>
        <w:t>"A qualificação técnica operacional consiste em qualidade pertinente às empresas que participam da licitação. Envolve a comprovação de que a empresa, como unidade jurídica e econômica, participara anteriormente de contrato cujo objeto era similar ao previsto para a contratação almejada pela Administração Pública".</w:t>
      </w:r>
    </w:p>
    <w:p>
      <w:pPr>
        <w:pStyle w:val="NoSpacing"/>
        <w:spacing w:lineRule="auto" w:line="27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Para mais, o Tribunal de Contas da União proferiu a seguinte Súmula:</w:t>
      </w:r>
    </w:p>
    <w:p>
      <w:pPr>
        <w:pStyle w:val="NoSpacing"/>
        <w:spacing w:lineRule="auto" w:line="27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ind w:left="2124" w:hanging="0"/>
        <w:jc w:val="both"/>
        <w:rPr>
          <w:rFonts w:ascii="Arial" w:hAnsi="Arial" w:eastAsia="Times New Roman" w:cs="Arial"/>
          <w:i/>
          <w:i/>
          <w:sz w:val="24"/>
          <w:szCs w:val="24"/>
          <w:lang w:eastAsia="pt-BR"/>
        </w:rPr>
      </w:pPr>
      <w:r>
        <w:rPr>
          <w:rFonts w:eastAsia="Times New Roman" w:cs="Arial" w:ascii="Arial" w:hAnsi="Arial"/>
          <w:i/>
          <w:sz w:val="24"/>
          <w:szCs w:val="24"/>
          <w:lang w:eastAsia="pt-BR"/>
        </w:rPr>
        <w:t>SÚMULA TCU 263: Para a comprovação da capacidade técnico-operacional das licitantes, e desde que limitada, simultaneamente, às parcelas de maior relevância e valor significativo do objeto a ser contratado, é legal a exigência de comprovação da execução de quantitativos mínimos em obras ou serviços com características semelhantes, devendo essa exigência guardar proporção com a dimensão e a complexidade do objeto a ser executado.</w:t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Spacing"/>
        <w:spacing w:lineRule="auto" w:line="276"/>
        <w:ind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Frisamos também que já é pacifico em diversas jurisprudências que para a exigência da </w:t>
      </w:r>
      <w:r>
        <w:rPr>
          <w:rFonts w:eastAsia="Times New Roman" w:cs="Arial" w:ascii="Arial" w:hAnsi="Arial"/>
          <w:b/>
          <w:sz w:val="24"/>
          <w:szCs w:val="24"/>
          <w:lang w:eastAsia="pt-BR"/>
        </w:rPr>
        <w:t>qualificação técnico-operacional</w:t>
      </w:r>
      <w:r>
        <w:rPr>
          <w:rFonts w:eastAsia="Times New Roman" w:cs="Arial" w:ascii="Arial" w:hAnsi="Arial"/>
          <w:sz w:val="24"/>
          <w:szCs w:val="24"/>
          <w:lang w:eastAsia="pt-BR"/>
        </w:rPr>
        <w:t xml:space="preserve"> os quantitativos mínimos exigidos não devem ultrapassar 50% do previsto no orçamento base</w:t>
      </w:r>
      <w:r>
        <w:rPr>
          <w:rStyle w:val="Ncoradanotaderodap"/>
          <w:rFonts w:eastAsia="Times New Roman" w:cs="Arial" w:ascii="Arial" w:hAnsi="Arial"/>
          <w:sz w:val="24"/>
          <w:szCs w:val="24"/>
          <w:lang w:eastAsia="pt-BR"/>
        </w:rPr>
        <w:footnoteReference w:id="2"/>
      </w:r>
      <w:r>
        <w:rPr>
          <w:rFonts w:eastAsia="Times New Roman" w:cs="Arial" w:ascii="Arial" w:hAnsi="Arial"/>
          <w:sz w:val="24"/>
          <w:szCs w:val="24"/>
          <w:lang w:eastAsia="pt-BR"/>
        </w:rPr>
        <w:t xml:space="preserve">, o que obviamente foi observado por esta administração, visto que foi solicitado </w:t>
      </w:r>
      <w:r>
        <w:rPr>
          <w:rFonts w:eastAsia="Times New Roman" w:cs="Arial" w:ascii="Arial" w:hAnsi="Arial"/>
          <w:i/>
          <w:sz w:val="24"/>
          <w:szCs w:val="24"/>
          <w:lang w:eastAsia="pt-BR"/>
        </w:rPr>
        <w:t>“o mínimo de 40% (quarenta por cento) dos quantitativos das parcelas de maior relevância”.</w:t>
      </w:r>
    </w:p>
    <w:p>
      <w:pPr>
        <w:pStyle w:val="NoSpacing"/>
        <w:spacing w:lineRule="auto" w:line="276"/>
        <w:ind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Spacing"/>
        <w:spacing w:lineRule="auto" w:line="276"/>
        <w:ind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>Vale recordar que não foi exigido que o atestado de capacidade técnico-operacional fosse registrado ou averbado no Crea (art. 55 da Resolução-Confea 1.025/2009), cabendo tal exigência apenas para fins de qualificação técnico-profissional.</w:t>
      </w:r>
    </w:p>
    <w:p>
      <w:pPr>
        <w:pStyle w:val="NoSpacing"/>
        <w:spacing w:lineRule="auto" w:line="276"/>
        <w:ind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Spacing"/>
        <w:spacing w:lineRule="auto" w:line="276"/>
        <w:ind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Em relação ao petitpório da empresa </w:t>
      </w:r>
      <w:r>
        <w:rPr>
          <w:rFonts w:cs="Arial" w:ascii="Arial" w:hAnsi="Arial"/>
          <w:sz w:val="24"/>
          <w:szCs w:val="24"/>
        </w:rPr>
        <w:t>INFRATECH ENGENHARIA</w:t>
      </w:r>
      <w:r>
        <w:rPr>
          <w:rFonts w:eastAsia="Times New Roman" w:cs="Arial" w:ascii="Arial" w:hAnsi="Arial"/>
          <w:sz w:val="24"/>
          <w:szCs w:val="24"/>
          <w:lang w:eastAsia="pt-BR"/>
        </w:rPr>
        <w:t xml:space="preserve">, vem recorrer da decisão que HABILITOU a empresa </w:t>
      </w:r>
      <w:r>
        <w:rPr>
          <w:rFonts w:cs="Arial" w:ascii="Arial" w:hAnsi="Arial"/>
          <w:sz w:val="24"/>
          <w:szCs w:val="24"/>
        </w:rPr>
        <w:t>ELVIMA CONSTRUÇÕES LTDA</w:t>
      </w:r>
      <w:r>
        <w:rPr>
          <w:rFonts w:eastAsia="Times New Roman" w:cs="Arial" w:ascii="Arial" w:hAnsi="Arial"/>
          <w:sz w:val="24"/>
          <w:szCs w:val="24"/>
          <w:lang w:eastAsia="pt-BR"/>
        </w:rPr>
        <w:t>, alegando que a mesma não possui comprovação de aptidão para a execução dos serviços descritos nos itens 5.9 e 5.10 da Meta 5, aduzindo que o serviço descrito no acervo técnico apresentado não é similar ao solicitado no edital.</w:t>
      </w:r>
    </w:p>
    <w:p>
      <w:pPr>
        <w:pStyle w:val="NoSpacing"/>
        <w:spacing w:lineRule="auto" w:line="276"/>
        <w:ind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Spacing"/>
        <w:spacing w:lineRule="auto" w:line="276"/>
        <w:ind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>Em análise dos atestados da empresa, verificamos que no acervo técnico da empresa ELVIMA foi verificado diversos itens simalares ao solicitado e que em seu total ultrapassa a quantidade exigida. Quanto aos itens apontado pelo recorrente, informamos que o serviço é similar ao solicitado e a empresa encontra-se apta a executar os serviços.</w:t>
      </w:r>
    </w:p>
    <w:p>
      <w:pPr>
        <w:pStyle w:val="NoSpacing"/>
        <w:spacing w:lineRule="auto" w:line="276"/>
        <w:ind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Spacing"/>
        <w:spacing w:lineRule="auto" w:line="276"/>
        <w:ind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>Nesse contexto, verifica-se serem equivocadas as razões apresentadas pelas recorrentes, visto que não foram demonstradas irregularidades capazes de macular o procedimento licitatório, não insurgindo razões que impeçam a continuidade do presente.</w:t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Spacing"/>
        <w:spacing w:lineRule="auto" w:line="276"/>
        <w:ind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Por fim, considerando as fundamentações aqui demonstradas e, principalmente, em homenagem aos princípios da legalidade, da razoabilidade e da eficiência, decide-se por conhecer o recurso administrativo e, no mérito, não dou provimento a solicitação das empresas </w:t>
      </w:r>
      <w:r>
        <w:rPr>
          <w:rFonts w:cs="Arial" w:ascii="Arial" w:hAnsi="Arial"/>
          <w:sz w:val="24"/>
          <w:szCs w:val="24"/>
        </w:rPr>
        <w:t>MCAP ENGENHARIA e INFRATECH ENGENHARIA LTDA</w:t>
      </w:r>
      <w:r>
        <w:rPr>
          <w:rFonts w:eastAsia="Times New Roman" w:cs="Arial" w:ascii="Arial" w:hAnsi="Arial"/>
          <w:sz w:val="24"/>
          <w:szCs w:val="24"/>
          <w:lang w:eastAsia="pt-BR"/>
        </w:rPr>
        <w:t>, referente a CP n° 06/24 – PMI, mantendo a decisão do Agente da Contratação.</w:t>
      </w:r>
      <w:bookmarkStart w:id="0" w:name="_GoBack"/>
      <w:bookmarkEnd w:id="0"/>
    </w:p>
    <w:p>
      <w:pPr>
        <w:pStyle w:val="NoSpacing"/>
        <w:spacing w:lineRule="auto" w:line="36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Spacing"/>
        <w:spacing w:lineRule="auto" w:line="276"/>
        <w:ind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>Dessa forma, encaminho o presente processo para Comissão Permanente de Licitação a fim de informar a decisão deste Ordenador.</w:t>
      </w:r>
    </w:p>
    <w:p>
      <w:pPr>
        <w:pStyle w:val="NormalWeb"/>
        <w:spacing w:lineRule="auto" w:line="276" w:before="280" w:after="280"/>
        <w:ind w:left="284" w:hanging="284"/>
        <w:jc w:val="right"/>
        <w:rPr>
          <w:rFonts w:ascii="Arial" w:hAnsi="Arial" w:cs="Arial"/>
        </w:rPr>
      </w:pPr>
      <w:r>
        <w:rPr>
          <w:rFonts w:cs="Arial" w:ascii="Arial" w:hAnsi="Arial"/>
        </w:rPr>
        <w:t>Itaboraí, 28 de janeiro de 2025.</w:t>
      </w:r>
    </w:p>
    <w:p>
      <w:pPr>
        <w:pStyle w:val="NoSpacing"/>
        <w:spacing w:lineRule="auto" w:line="276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Spacing"/>
        <w:spacing w:lineRule="auto" w:line="276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30"/>
        <w:ind w:left="284" w:hanging="284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Diogo Sperling dos Santos</w:t>
      </w:r>
    </w:p>
    <w:p>
      <w:pPr>
        <w:pStyle w:val="Normal"/>
        <w:spacing w:lineRule="auto" w:line="276" w:before="0" w:after="30"/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Secretário Municipal de Serviços Públicos</w:t>
      </w:r>
    </w:p>
    <w:p>
      <w:pPr>
        <w:pStyle w:val="Normal"/>
        <w:spacing w:lineRule="auto" w:line="276" w:before="0" w:after="3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Matr. PMI nº 57.365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849" w:header="907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t xml:space="preserve">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>
          <w:rFonts w:eastAsia="Times New Roman" w:cs="Arial" w:ascii="Arial" w:hAnsi="Arial"/>
        </w:rPr>
        <w:t>Acórdão 1251/2022 – Segunda Câmara.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drawing>
        <wp:anchor behindDoc="1" distT="0" distB="0" distL="0" distR="114300" simplePos="0" locked="0" layoutInCell="0" allowOverlap="1" relativeHeight="5">
          <wp:simplePos x="0" y="0"/>
          <wp:positionH relativeFrom="margin">
            <wp:align>left</wp:align>
          </wp:positionH>
          <wp:positionV relativeFrom="margin">
            <wp:posOffset>-978535</wp:posOffset>
          </wp:positionV>
          <wp:extent cx="811530" cy="771525"/>
          <wp:effectExtent l="0" t="0" r="0" b="0"/>
          <wp:wrapSquare wrapText="bothSides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</w:t>
    </w:r>
    <w:r>
      <w:rPr>
        <w:b/>
      </w:rPr>
      <w:t>REFEITURA MUNICIPAL DE ITABORAÍ</w:t>
    </w:r>
  </w:p>
  <w:p>
    <w:pPr>
      <w:pStyle w:val="Normal"/>
      <w:jc w:val="center"/>
      <w:rPr>
        <w:b/>
        <w:b/>
        <w:sz w:val="20"/>
      </w:rPr>
    </w:pPr>
    <w:r>
      <w:rPr>
        <w:b/>
        <w:sz w:val="20"/>
      </w:rPr>
      <w:t>ESTADO DO RIO DE JANEIRO</w:t>
    </w:r>
  </w:p>
  <w:p>
    <w:pPr>
      <w:pStyle w:val="Normal"/>
      <w:jc w:val="center"/>
      <w:rPr>
        <w:b/>
        <w:b/>
        <w:sz w:val="20"/>
      </w:rPr>
    </w:pPr>
    <w:r>
      <w:rPr>
        <w:b/>
        <w:sz w:val="20"/>
      </w:rPr>
    </w:r>
  </w:p>
  <w:p>
    <w:pPr>
      <w:pStyle w:val="Normal"/>
      <w:jc w:val="center"/>
      <w:rPr>
        <w:b/>
        <w:b/>
        <w:sz w:val="20"/>
      </w:rPr>
    </w:pPr>
    <w:r>
      <w:rPr>
        <w:b/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bullet"/>
      <w:lvlText w:val="l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0f1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5f8f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a76dd9"/>
    <w:pPr>
      <w:keepNext w:val="true"/>
      <w:numPr>
        <w:ilvl w:val="3"/>
        <w:numId w:val="1"/>
      </w:numPr>
      <w:suppressAutoHyphens w:val="true"/>
      <w:overflowPunct w:val="true"/>
      <w:spacing w:before="240" w:after="60"/>
      <w:textAlignment w:val="baseline"/>
      <w:outlineLvl w:val="3"/>
    </w:pPr>
    <w:rPr>
      <w:rFonts w:ascii="Times New Roman" w:hAnsi="Times New Roman" w:eastAsia="Times New Roman"/>
      <w:b/>
      <w:bCs/>
      <w:kern w:val="2"/>
      <w:sz w:val="28"/>
      <w:szCs w:val="28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66b76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qFormat/>
    <w:rsid w:val="00666b7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66b76"/>
    <w:rPr/>
  </w:style>
  <w:style w:type="character" w:styleId="LinkdaInternet">
    <w:name w:val="Link da Internet"/>
    <w:basedOn w:val="DefaultParagraphFont"/>
    <w:uiPriority w:val="99"/>
    <w:semiHidden/>
    <w:unhideWhenUsed/>
    <w:rsid w:val="00295f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5f68"/>
    <w:rPr>
      <w:b/>
      <w:bCs/>
    </w:rPr>
  </w:style>
  <w:style w:type="character" w:styleId="Nfase">
    <w:name w:val="Ênfase"/>
    <w:basedOn w:val="DefaultParagraphFont"/>
    <w:uiPriority w:val="20"/>
    <w:qFormat/>
    <w:rsid w:val="00c86bd1"/>
    <w:rPr>
      <w:i/>
      <w:iCs/>
    </w:rPr>
  </w:style>
  <w:style w:type="character" w:styleId="Appleconvertedspace" w:customStyle="1">
    <w:name w:val="apple-converted-space"/>
    <w:basedOn w:val="DefaultParagraphFont"/>
    <w:qFormat/>
    <w:rsid w:val="00630127"/>
    <w:rPr/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585a23"/>
    <w:rPr>
      <w:sz w:val="22"/>
      <w:szCs w:val="22"/>
      <w:lang w:eastAsia="en-US"/>
    </w:rPr>
  </w:style>
  <w:style w:type="character" w:styleId="Fontstyle01" w:customStyle="1">
    <w:name w:val="fontstyle01"/>
    <w:basedOn w:val="DefaultParagraphFont"/>
    <w:qFormat/>
    <w:rsid w:val="00166b52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166b52"/>
    <w:rPr>
      <w:rFonts w:ascii="Arial" w:hAnsi="Arial" w:cs="Arial"/>
      <w:b w:val="false"/>
      <w:bCs w:val="false"/>
      <w:i/>
      <w:iCs/>
      <w:color w:val="000000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73f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a173f3"/>
    <w:rPr>
      <w:lang w:eastAsia="en-US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a173f3"/>
    <w:rPr>
      <w:b/>
      <w:bCs/>
      <w:lang w:eastAsia="en-US"/>
    </w:rPr>
  </w:style>
  <w:style w:type="character" w:styleId="Ttulo4Char" w:customStyle="1">
    <w:name w:val="Título 4 Char"/>
    <w:basedOn w:val="DefaultParagraphFont"/>
    <w:link w:val="Ttulo4"/>
    <w:qFormat/>
    <w:rsid w:val="00a76dd9"/>
    <w:rPr>
      <w:rFonts w:ascii="Times New Roman" w:hAnsi="Times New Roman" w:eastAsia="Times New Roman"/>
      <w:b/>
      <w:bCs/>
      <w:kern w:val="2"/>
      <w:sz w:val="28"/>
      <w:szCs w:val="28"/>
      <w:lang w:eastAsia="zh-CN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76182b"/>
    <w:rPr>
      <w:rFonts w:ascii="Times New Roman" w:hAnsi="Times New Roma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6182b"/>
    <w:rPr>
      <w:vertAlign w:val="superscript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915f8f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character" w:styleId="TextodenotadefimChar" w:customStyle="1">
    <w:name w:val="Texto de nota de fim Char"/>
    <w:basedOn w:val="DefaultParagraphFont"/>
    <w:link w:val="Textodenotadefim"/>
    <w:uiPriority w:val="99"/>
    <w:semiHidden/>
    <w:qFormat/>
    <w:rsid w:val="001e578e"/>
    <w:rPr>
      <w:lang w:eastAsia="en-US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e578e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b76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666b7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66b7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05cd1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295f68"/>
    <w:pPr>
      <w:spacing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Default" w:customStyle="1">
    <w:name w:val="Default"/>
    <w:qFormat/>
    <w:rsid w:val="002946cf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pt-BR" w:bidi="ar-SA"/>
    </w:rPr>
  </w:style>
  <w:style w:type="paragraph" w:styleId="NoSpacing">
    <w:name w:val="No Spacing"/>
    <w:link w:val="SemEspaamentoChar"/>
    <w:uiPriority w:val="1"/>
    <w:qFormat/>
    <w:rsid w:val="00585a2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Standard" w:customStyle="1">
    <w:name w:val="Standard"/>
    <w:qFormat/>
    <w:rsid w:val="00a25523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zh-CN" w:val="pt-BR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a173f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173f3"/>
    <w:pPr/>
    <w:rPr>
      <w:b/>
      <w:bCs/>
    </w:rPr>
  </w:style>
  <w:style w:type="paragraph" w:styleId="Art" w:customStyle="1">
    <w:name w:val="art"/>
    <w:basedOn w:val="Normal"/>
    <w:qFormat/>
    <w:rsid w:val="001964df"/>
    <w:pPr>
      <w:spacing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76182b"/>
    <w:pPr/>
    <w:rPr>
      <w:rFonts w:ascii="Times New Roman" w:hAnsi="Times New Roman"/>
      <w:sz w:val="20"/>
      <w:szCs w:val="20"/>
      <w:lang w:eastAsia="pt-BR"/>
    </w:rPr>
  </w:style>
  <w:style w:type="paragraph" w:styleId="Notadefim">
    <w:name w:val="Endnote Text"/>
    <w:basedOn w:val="Normal"/>
    <w:link w:val="TextodenotadefimChar"/>
    <w:uiPriority w:val="99"/>
    <w:semiHidden/>
    <w:unhideWhenUsed/>
    <w:rsid w:val="001e578e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d17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EB060-8BAD-4DE5-99FE-BD4CFA65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LibreOffice/7.0.0.3$Windows_X86_64 LibreOffice_project/8061b3e9204bef6b321a21033174034a5e2ea88e</Application>
  <Pages>2</Pages>
  <Words>663</Words>
  <Characters>3895</Characters>
  <CharactersWithSpaces>4551</CharactersWithSpaces>
  <Paragraphs>30</Paragraphs>
  <Company>PMI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2025-02-04T18:49:00Z</dcterms:created>
  <dc:creator>Usuario</dc:creator>
  <dc:description/>
  <dc:language>pt-BR</dc:language>
  <cp:lastModifiedBy>Usuário</cp:lastModifiedBy>
  <cp:lastPrinted>2025-02-04T19:22:00Z</cp:lastPrinted>
  <dcterms:modified xsi:type="dcterms:W3CDTF">2025-02-04T19:29:00Z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PMI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