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AA" w:rsidRDefault="00931CAA">
      <w:pPr>
        <w:spacing w:after="0" w:line="276" w:lineRule="auto"/>
        <w:jc w:val="center"/>
        <w:rPr>
          <w:rFonts w:ascii="Arial" w:hAnsi="Arial" w:cs="Arial"/>
          <w:b/>
          <w:bCs/>
          <w:sz w:val="24"/>
          <w:szCs w:val="24"/>
        </w:rPr>
      </w:pPr>
      <w:bookmarkStart w:id="0" w:name="_GoBack"/>
      <w:bookmarkEnd w:id="0"/>
    </w:p>
    <w:p w:rsidR="00931CAA" w:rsidRDefault="0082231B">
      <w:pPr>
        <w:spacing w:after="0" w:line="276" w:lineRule="auto"/>
        <w:jc w:val="center"/>
        <w:rPr>
          <w:rFonts w:ascii="Arial" w:hAnsi="Arial" w:cs="Arial"/>
          <w:b/>
          <w:bCs/>
          <w:sz w:val="24"/>
          <w:szCs w:val="24"/>
        </w:rPr>
      </w:pPr>
      <w:r>
        <w:rPr>
          <w:rFonts w:ascii="Arial" w:hAnsi="Arial" w:cs="Arial"/>
          <w:b/>
          <w:bCs/>
          <w:sz w:val="24"/>
          <w:szCs w:val="24"/>
        </w:rPr>
        <w:t>ANEXO II - TERMO DE REFERÊNCIA</w:t>
      </w:r>
    </w:p>
    <w:p w:rsidR="00931CAA" w:rsidRDefault="00931CAA">
      <w:pPr>
        <w:spacing w:after="0" w:line="276" w:lineRule="auto"/>
        <w:jc w:val="both"/>
        <w:rPr>
          <w:rFonts w:ascii="Arial" w:hAnsi="Arial" w:cs="Arial"/>
          <w:sz w:val="24"/>
          <w:szCs w:val="24"/>
        </w:rPr>
      </w:pPr>
    </w:p>
    <w:p w:rsidR="00931CAA" w:rsidRDefault="0082231B">
      <w:pPr>
        <w:pStyle w:val="PargrafodaLista"/>
        <w:numPr>
          <w:ilvl w:val="0"/>
          <w:numId w:val="1"/>
        </w:numPr>
        <w:tabs>
          <w:tab w:val="left" w:pos="426"/>
        </w:tabs>
        <w:spacing w:after="0" w:line="276" w:lineRule="auto"/>
        <w:ind w:left="0" w:firstLine="0"/>
        <w:jc w:val="both"/>
        <w:rPr>
          <w:rFonts w:ascii="Arial" w:hAnsi="Arial" w:cs="Arial"/>
          <w:b/>
          <w:sz w:val="24"/>
          <w:szCs w:val="24"/>
        </w:rPr>
      </w:pPr>
      <w:r>
        <w:rPr>
          <w:rFonts w:ascii="Arial" w:hAnsi="Arial" w:cs="Arial"/>
          <w:b/>
          <w:bCs/>
          <w:sz w:val="24"/>
          <w:szCs w:val="24"/>
        </w:rPr>
        <w:t>DO OBJETO</w:t>
      </w:r>
    </w:p>
    <w:p w:rsidR="00931CAA" w:rsidRDefault="0082231B">
      <w:pPr>
        <w:pStyle w:val="PargrafodaLista"/>
        <w:numPr>
          <w:ilvl w:val="1"/>
          <w:numId w:val="2"/>
        </w:numPr>
        <w:spacing w:before="120" w:after="240" w:line="276" w:lineRule="auto"/>
        <w:ind w:left="0" w:firstLine="0"/>
        <w:jc w:val="both"/>
        <w:rPr>
          <w:rFonts w:ascii="Arial" w:hAnsi="Arial" w:cs="Arial"/>
          <w:b/>
          <w:sz w:val="24"/>
          <w:szCs w:val="24"/>
        </w:rPr>
      </w:pPr>
      <w:r>
        <w:rPr>
          <w:rFonts w:ascii="Arial" w:eastAsia="Times New Roman" w:hAnsi="Arial" w:cs="Arial"/>
          <w:sz w:val="24"/>
          <w:szCs w:val="24"/>
        </w:rPr>
        <w:t>O presente termo de referência estabelece as condições e especificações referentes a realização de certame destinado a “</w:t>
      </w:r>
      <w:r>
        <w:rPr>
          <w:rFonts w:ascii="Arial" w:eastAsia="Times New Roman" w:hAnsi="Arial" w:cs="Arial"/>
          <w:b/>
          <w:sz w:val="24"/>
          <w:szCs w:val="24"/>
        </w:rPr>
        <w:t xml:space="preserve">Aquisição de equipamentos e materiais para implantação do Serviço de Verificação de Óbitos (SVO) no Município de </w:t>
      </w:r>
      <w:proofErr w:type="gramStart"/>
      <w:r>
        <w:rPr>
          <w:rFonts w:ascii="Arial" w:eastAsia="Times New Roman" w:hAnsi="Arial" w:cs="Arial"/>
          <w:b/>
          <w:sz w:val="24"/>
          <w:szCs w:val="24"/>
        </w:rPr>
        <w:t>Itaboraí</w:t>
      </w:r>
      <w:r>
        <w:rPr>
          <w:rFonts w:ascii="Arial" w:eastAsia="Times New Roman" w:hAnsi="Arial" w:cs="Arial"/>
          <w:sz w:val="24"/>
          <w:szCs w:val="24"/>
        </w:rPr>
        <w:t>.”</w:t>
      </w:r>
      <w:proofErr w:type="gramEnd"/>
    </w:p>
    <w:p w:rsidR="00931CAA" w:rsidRDefault="0082231B">
      <w:pPr>
        <w:spacing w:before="120" w:after="240" w:line="276" w:lineRule="auto"/>
        <w:jc w:val="both"/>
        <w:rPr>
          <w:rFonts w:ascii="Arial" w:hAnsi="Arial" w:cs="Arial"/>
          <w:b/>
          <w:sz w:val="24"/>
          <w:szCs w:val="24"/>
        </w:rPr>
      </w:pPr>
      <w:r>
        <w:rPr>
          <w:rFonts w:ascii="Arial" w:eastAsia="Times New Roman" w:hAnsi="Arial" w:cs="Arial"/>
          <w:b/>
          <w:sz w:val="24"/>
          <w:szCs w:val="24"/>
        </w:rPr>
        <w:t>2. DESCRIÇÃO DOS ITENS</w:t>
      </w:r>
    </w:p>
    <w:tbl>
      <w:tblPr>
        <w:tblStyle w:val="Tabelacomgrade"/>
        <w:tblW w:w="9097" w:type="dxa"/>
        <w:jc w:val="center"/>
        <w:tblLayout w:type="fixed"/>
        <w:tblLook w:val="04A0" w:firstRow="1" w:lastRow="0" w:firstColumn="1" w:lastColumn="0" w:noHBand="0" w:noVBand="1"/>
      </w:tblPr>
      <w:tblGrid>
        <w:gridCol w:w="742"/>
        <w:gridCol w:w="6461"/>
        <w:gridCol w:w="827"/>
        <w:gridCol w:w="1067"/>
      </w:tblGrid>
      <w:tr w:rsidR="00931CAA">
        <w:trPr>
          <w:jc w:val="center"/>
        </w:trPr>
        <w:tc>
          <w:tcPr>
            <w:tcW w:w="742" w:type="dxa"/>
            <w:vAlign w:val="center"/>
          </w:tcPr>
          <w:p w:rsidR="00931CAA" w:rsidRDefault="0082231B">
            <w:pPr>
              <w:widowControl w:val="0"/>
              <w:spacing w:before="120" w:after="0" w:line="276" w:lineRule="auto"/>
              <w:jc w:val="center"/>
              <w:rPr>
                <w:rFonts w:ascii="Arial" w:hAnsi="Arial" w:cs="Arial"/>
                <w:b/>
              </w:rPr>
            </w:pPr>
            <w:r>
              <w:rPr>
                <w:rFonts w:ascii="Arial" w:eastAsia="Calibri" w:hAnsi="Arial" w:cs="Arial"/>
                <w:b/>
              </w:rPr>
              <w:t>ITEM</w:t>
            </w:r>
          </w:p>
        </w:tc>
        <w:tc>
          <w:tcPr>
            <w:tcW w:w="6460" w:type="dxa"/>
          </w:tcPr>
          <w:p w:rsidR="00931CAA" w:rsidRDefault="0082231B">
            <w:pPr>
              <w:widowControl w:val="0"/>
              <w:spacing w:before="120" w:after="0" w:line="276" w:lineRule="auto"/>
              <w:jc w:val="center"/>
              <w:rPr>
                <w:rFonts w:ascii="Arial" w:hAnsi="Arial" w:cs="Arial"/>
                <w:b/>
              </w:rPr>
            </w:pPr>
            <w:r>
              <w:rPr>
                <w:rFonts w:ascii="Arial" w:eastAsia="Calibri" w:hAnsi="Arial" w:cs="Arial"/>
                <w:b/>
              </w:rPr>
              <w:t>ESPECIFICAÇÃO</w:t>
            </w:r>
          </w:p>
        </w:tc>
        <w:tc>
          <w:tcPr>
            <w:tcW w:w="827" w:type="dxa"/>
            <w:vAlign w:val="center"/>
          </w:tcPr>
          <w:p w:rsidR="00931CAA" w:rsidRDefault="0082231B">
            <w:pPr>
              <w:widowControl w:val="0"/>
              <w:spacing w:before="120" w:after="0" w:line="276" w:lineRule="auto"/>
              <w:jc w:val="center"/>
              <w:rPr>
                <w:rFonts w:ascii="Arial" w:hAnsi="Arial" w:cs="Arial"/>
                <w:b/>
              </w:rPr>
            </w:pPr>
            <w:r>
              <w:rPr>
                <w:rFonts w:ascii="Arial" w:eastAsia="Calibri" w:hAnsi="Arial" w:cs="Arial"/>
                <w:b/>
              </w:rPr>
              <w:t>UND</w:t>
            </w:r>
          </w:p>
        </w:tc>
        <w:tc>
          <w:tcPr>
            <w:tcW w:w="1067" w:type="dxa"/>
            <w:vAlign w:val="center"/>
          </w:tcPr>
          <w:p w:rsidR="00931CAA" w:rsidRDefault="0082231B">
            <w:pPr>
              <w:widowControl w:val="0"/>
              <w:spacing w:before="120" w:after="0" w:line="276" w:lineRule="auto"/>
              <w:jc w:val="center"/>
              <w:rPr>
                <w:rFonts w:ascii="Arial" w:hAnsi="Arial" w:cs="Arial"/>
                <w:b/>
              </w:rPr>
            </w:pPr>
            <w:r>
              <w:rPr>
                <w:rFonts w:ascii="Arial" w:eastAsia="Calibri" w:hAnsi="Arial" w:cs="Arial"/>
                <w:b/>
              </w:rPr>
              <w:t>QUANT.</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01</w:t>
            </w:r>
          </w:p>
        </w:tc>
        <w:tc>
          <w:tcPr>
            <w:tcW w:w="6460" w:type="dxa"/>
          </w:tcPr>
          <w:p w:rsidR="00931CAA" w:rsidRDefault="0082231B">
            <w:pPr>
              <w:widowControl w:val="0"/>
              <w:spacing w:before="120" w:after="0" w:line="276" w:lineRule="auto"/>
              <w:jc w:val="both"/>
              <w:rPr>
                <w:rFonts w:ascii="Arial" w:hAnsi="Arial" w:cs="Arial"/>
              </w:rPr>
            </w:pPr>
            <w:proofErr w:type="spellStart"/>
            <w:r>
              <w:rPr>
                <w:rFonts w:ascii="Arial" w:eastAsia="Calibri" w:hAnsi="Arial" w:cs="Arial"/>
                <w:b/>
              </w:rPr>
              <w:t>Negatoscópio</w:t>
            </w:r>
            <w:proofErr w:type="spellEnd"/>
            <w:r>
              <w:rPr>
                <w:rFonts w:ascii="Arial" w:eastAsia="Calibri" w:hAnsi="Arial" w:cs="Arial"/>
                <w:b/>
              </w:rPr>
              <w:t xml:space="preserve"> Clínico em Aço Inox:</w:t>
            </w:r>
            <w:r>
              <w:rPr>
                <w:rFonts w:ascii="Arial" w:eastAsia="Calibri" w:hAnsi="Arial" w:cs="Arial"/>
              </w:rPr>
              <w:t xml:space="preserve"> construído em chapa de aço inox espessura de 0,46 mm bitola 26 com frente de acrílico leitoso, fixação de RX por roletes, bivolt. Duas lâmpadas </w:t>
            </w:r>
            <w:proofErr w:type="spellStart"/>
            <w:r>
              <w:rPr>
                <w:rFonts w:ascii="Arial" w:eastAsia="Calibri" w:hAnsi="Arial" w:cs="Arial"/>
              </w:rPr>
              <w:t>led</w:t>
            </w:r>
            <w:proofErr w:type="spellEnd"/>
            <w:r>
              <w:rPr>
                <w:rFonts w:ascii="Arial" w:eastAsia="Calibri" w:hAnsi="Arial" w:cs="Arial"/>
              </w:rPr>
              <w:t xml:space="preserve"> 15w cada, </w:t>
            </w:r>
            <w:proofErr w:type="spellStart"/>
            <w:r>
              <w:rPr>
                <w:rFonts w:ascii="Arial" w:eastAsia="Calibri" w:hAnsi="Arial" w:cs="Arial"/>
              </w:rPr>
              <w:t>plug</w:t>
            </w:r>
            <w:proofErr w:type="spellEnd"/>
            <w:r>
              <w:rPr>
                <w:rFonts w:ascii="Arial" w:eastAsia="Calibri" w:hAnsi="Arial" w:cs="Arial"/>
              </w:rPr>
              <w:t xml:space="preserve"> bipolar; dimensões externas aproximadas: 47 cm comp. x38 cm </w:t>
            </w:r>
            <w:proofErr w:type="spellStart"/>
            <w:r>
              <w:rPr>
                <w:rFonts w:ascii="Arial" w:eastAsia="Calibri" w:hAnsi="Arial" w:cs="Arial"/>
              </w:rPr>
              <w:t>larg.x</w:t>
            </w:r>
            <w:proofErr w:type="spellEnd"/>
            <w:r>
              <w:rPr>
                <w:rFonts w:ascii="Arial" w:eastAsia="Calibri" w:hAnsi="Arial" w:cs="Arial"/>
              </w:rPr>
              <w:t xml:space="preserve"> 9 cm prof.; cubagem: 0,027 M3 - Peso: 5kg;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02</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02</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Plataforma de pesagem eletrônica com visor portátil/com display gráfico</w:t>
            </w:r>
            <w:r>
              <w:rPr>
                <w:rFonts w:ascii="Arial" w:eastAsia="Calibri" w:hAnsi="Arial" w:cs="Arial"/>
              </w:rPr>
              <w:t xml:space="preserve">: equipada com 2 interfaces de comunicação RS232 de segurança </w:t>
            </w:r>
            <w:proofErr w:type="spellStart"/>
            <w:r>
              <w:rPr>
                <w:rFonts w:ascii="Arial" w:eastAsia="Calibri" w:hAnsi="Arial" w:cs="Arial"/>
              </w:rPr>
              <w:t>intrínsecae</w:t>
            </w:r>
            <w:proofErr w:type="spellEnd"/>
            <w:r>
              <w:rPr>
                <w:rFonts w:ascii="Arial" w:eastAsia="Calibri" w:hAnsi="Arial" w:cs="Arial"/>
              </w:rPr>
              <w:t xml:space="preserve"> uma interface RS485, diretiva ATEX; tecnologia eletrônica com visor móvel, display gráfico, capacidade de pesagem Máx. 300kg (661,39lb), MÍN. 1,5 kg (3,31 </w:t>
            </w:r>
            <w:proofErr w:type="spellStart"/>
            <w:r>
              <w:rPr>
                <w:rFonts w:ascii="Arial" w:eastAsia="Calibri" w:hAnsi="Arial" w:cs="Arial"/>
              </w:rPr>
              <w:t>lb</w:t>
            </w:r>
            <w:proofErr w:type="spellEnd"/>
            <w:r>
              <w:rPr>
                <w:rFonts w:ascii="Arial" w:eastAsia="Calibri" w:hAnsi="Arial" w:cs="Arial"/>
              </w:rPr>
              <w:t>), precisão de leitura MÁX. 100g (3,5274 02), Mín. 0,5g (0,0176 02);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01</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03</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 xml:space="preserve">Caixa para </w:t>
            </w:r>
            <w:proofErr w:type="spellStart"/>
            <w:r>
              <w:rPr>
                <w:rFonts w:ascii="Arial" w:eastAsia="Calibri" w:hAnsi="Arial" w:cs="Arial"/>
                <w:b/>
              </w:rPr>
              <w:t>Necrópsia</w:t>
            </w:r>
            <w:proofErr w:type="spellEnd"/>
            <w:r>
              <w:rPr>
                <w:rFonts w:ascii="Arial" w:eastAsia="Calibri" w:hAnsi="Arial" w:cs="Arial"/>
                <w:b/>
              </w:rPr>
              <w:t>:</w:t>
            </w:r>
            <w:r>
              <w:rPr>
                <w:rFonts w:ascii="Arial" w:eastAsia="Calibri" w:hAnsi="Arial" w:cs="Arial"/>
              </w:rPr>
              <w:t xml:space="preserve"> contendo Serra de </w:t>
            </w:r>
            <w:proofErr w:type="spellStart"/>
            <w:r>
              <w:rPr>
                <w:rFonts w:ascii="Arial" w:eastAsia="Calibri" w:hAnsi="Arial" w:cs="Arial"/>
              </w:rPr>
              <w:t>Mathieu</w:t>
            </w:r>
            <w:proofErr w:type="spellEnd"/>
            <w:r>
              <w:rPr>
                <w:rFonts w:ascii="Arial" w:eastAsia="Calibri" w:hAnsi="Arial" w:cs="Arial"/>
              </w:rPr>
              <w:t xml:space="preserve"> (arco de serra); Serra de Weiss (serrote): Cisalha (</w:t>
            </w:r>
            <w:proofErr w:type="spellStart"/>
            <w:r>
              <w:rPr>
                <w:rFonts w:ascii="Arial" w:eastAsia="Calibri" w:hAnsi="Arial" w:cs="Arial"/>
              </w:rPr>
              <w:t>costótomo</w:t>
            </w:r>
            <w:proofErr w:type="spellEnd"/>
            <w:r>
              <w:rPr>
                <w:rFonts w:ascii="Arial" w:eastAsia="Calibri" w:hAnsi="Arial" w:cs="Arial"/>
              </w:rPr>
              <w:t xml:space="preserve">); </w:t>
            </w:r>
            <w:proofErr w:type="spellStart"/>
            <w:r>
              <w:rPr>
                <w:rFonts w:ascii="Arial" w:eastAsia="Calibri" w:hAnsi="Arial" w:cs="Arial"/>
              </w:rPr>
              <w:t>Ganchopara</w:t>
            </w:r>
            <w:proofErr w:type="spellEnd"/>
            <w:r>
              <w:rPr>
                <w:rFonts w:ascii="Arial" w:eastAsia="Calibri" w:hAnsi="Arial" w:cs="Arial"/>
              </w:rPr>
              <w:t xml:space="preserve"> osso: Pinça para osso Pinça anatômica 25 cm: Pinça dente de rato 25 cm; Tesoura </w:t>
            </w:r>
            <w:proofErr w:type="spellStart"/>
            <w:r>
              <w:rPr>
                <w:rFonts w:ascii="Arial" w:eastAsia="Calibri" w:hAnsi="Arial" w:cs="Arial"/>
              </w:rPr>
              <w:t>enterótomo</w:t>
            </w:r>
            <w:proofErr w:type="spellEnd"/>
            <w:r>
              <w:rPr>
                <w:rFonts w:ascii="Arial" w:eastAsia="Calibri" w:hAnsi="Arial" w:cs="Arial"/>
              </w:rPr>
              <w:t xml:space="preserve">; Tesoura fina reta; Tesoura curva, Faca larga para amputação; Bisturi de </w:t>
            </w:r>
            <w:proofErr w:type="spellStart"/>
            <w:r>
              <w:rPr>
                <w:rFonts w:ascii="Arial" w:eastAsia="Calibri" w:hAnsi="Arial" w:cs="Arial"/>
              </w:rPr>
              <w:t>Esmarch</w:t>
            </w:r>
            <w:proofErr w:type="spellEnd"/>
            <w:r>
              <w:rPr>
                <w:rFonts w:ascii="Arial" w:eastAsia="Calibri" w:hAnsi="Arial" w:cs="Arial"/>
              </w:rPr>
              <w:t xml:space="preserve">; Faca de </w:t>
            </w:r>
            <w:proofErr w:type="spellStart"/>
            <w:r>
              <w:rPr>
                <w:rFonts w:ascii="Arial" w:eastAsia="Calibri" w:hAnsi="Arial" w:cs="Arial"/>
              </w:rPr>
              <w:t>magaref</w:t>
            </w:r>
            <w:proofErr w:type="spellEnd"/>
            <w:r>
              <w:rPr>
                <w:rFonts w:ascii="Arial" w:eastAsia="Calibri" w:hAnsi="Arial" w:cs="Arial"/>
              </w:rPr>
              <w:t>; Bisturi fixo grande; Machadinho; Formão; Fusível; Caixa de inox para instrumentos.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05</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04</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 xml:space="preserve">Serra elétrica oscilatória para </w:t>
            </w:r>
            <w:proofErr w:type="spellStart"/>
            <w:r>
              <w:rPr>
                <w:rFonts w:ascii="Arial" w:eastAsia="Calibri" w:hAnsi="Arial" w:cs="Arial"/>
                <w:b/>
              </w:rPr>
              <w:t>necrópsia</w:t>
            </w:r>
            <w:proofErr w:type="spellEnd"/>
            <w:r>
              <w:rPr>
                <w:rFonts w:ascii="Arial" w:eastAsia="Calibri" w:hAnsi="Arial" w:cs="Arial"/>
                <w:b/>
              </w:rPr>
              <w:t>:</w:t>
            </w:r>
            <w:r>
              <w:rPr>
                <w:rFonts w:ascii="Arial" w:eastAsia="Calibri" w:hAnsi="Arial" w:cs="Arial"/>
              </w:rPr>
              <w:t xml:space="preserve"> motor elétrico, eixo flexível e manopla confeccionado em alumínio e aço inoxidável; Motor elétrico disponível em 110v, potência máxima de 350watts e </w:t>
            </w:r>
            <w:proofErr w:type="spellStart"/>
            <w:r>
              <w:rPr>
                <w:rFonts w:ascii="Arial" w:eastAsia="Calibri" w:hAnsi="Arial" w:cs="Arial"/>
              </w:rPr>
              <w:t>freqüência</w:t>
            </w:r>
            <w:proofErr w:type="spellEnd"/>
            <w:r>
              <w:rPr>
                <w:rFonts w:ascii="Arial" w:eastAsia="Calibri" w:hAnsi="Arial" w:cs="Arial"/>
              </w:rPr>
              <w:t xml:space="preserve"> 50/60Hz, com amperagem de 0,5; atingindo uma oscilação de 18.000, eixo flexível com 1 metro, sistema </w:t>
            </w:r>
            <w:proofErr w:type="spellStart"/>
            <w:r>
              <w:rPr>
                <w:rFonts w:ascii="Arial" w:eastAsia="Calibri" w:hAnsi="Arial" w:cs="Arial"/>
              </w:rPr>
              <w:t>deengate</w:t>
            </w:r>
            <w:proofErr w:type="spellEnd"/>
            <w:r>
              <w:rPr>
                <w:rFonts w:ascii="Arial" w:eastAsia="Calibri" w:hAnsi="Arial" w:cs="Arial"/>
              </w:rPr>
              <w:t xml:space="preserve"> rápido na manopla com eixo flexível e troca rápida de discos sem parafusos e porcas para fixação; acabamento - pintura eletrostática; acompanha: 01 disco de serra de 0 mm/2¨pol.; 01 disco de serra de 64 mm/2¨1/2 pol. 01 chave para troca dos discos;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02</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lastRenderedPageBreak/>
              <w:t>05</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 xml:space="preserve">Mesa de </w:t>
            </w:r>
            <w:proofErr w:type="spellStart"/>
            <w:r>
              <w:rPr>
                <w:rFonts w:ascii="Arial" w:eastAsia="Calibri" w:hAnsi="Arial" w:cs="Arial"/>
                <w:b/>
              </w:rPr>
              <w:t>Necrópsia</w:t>
            </w:r>
            <w:proofErr w:type="spellEnd"/>
            <w:r>
              <w:rPr>
                <w:rFonts w:ascii="Arial" w:eastAsia="Calibri" w:hAnsi="Arial" w:cs="Arial"/>
                <w:b/>
              </w:rPr>
              <w:t xml:space="preserve"> com Suporte Craniano e Triturador</w:t>
            </w:r>
            <w:r>
              <w:rPr>
                <w:rFonts w:ascii="Arial" w:eastAsia="Calibri" w:hAnsi="Arial" w:cs="Arial"/>
              </w:rPr>
              <w:t xml:space="preserve">: construída totalmente em aço inoxidável AISI 304 polido com estrutura tubular e reforço central; arremate e junções em solda inerte de argônio; Grade roletes em aço inox removível para facilitar deslizamento dos corpos, manuseio e a limpeza; Tampo com rebaixo; Dreno de escoamento com saída 3/4¨ e vinco para facilitar o escoamento de líquidos; Saída única para descarte no </w:t>
            </w:r>
            <w:proofErr w:type="spellStart"/>
            <w:r>
              <w:rPr>
                <w:rFonts w:ascii="Arial" w:eastAsia="Calibri" w:hAnsi="Arial" w:cs="Arial"/>
              </w:rPr>
              <w:t>esgototipo</w:t>
            </w:r>
            <w:proofErr w:type="spellEnd"/>
            <w:r>
              <w:rPr>
                <w:rFonts w:ascii="Arial" w:eastAsia="Calibri" w:hAnsi="Arial" w:cs="Arial"/>
              </w:rPr>
              <w:t xml:space="preserve"> sifão; Espigão de 3/4¨para abastecimento de água nas torneiras; Cuba pia com cantos arredondados e torneira giratória; Ducha manual para higienização na região central da mesa; Torneira mono comando de água quente/fria; Suporte para fixação de crânio ajustável através de rosca sem fim com possibilidade de remoção; Triturador automático com sistema elétrico integrado; 01 ducha manual de emergência para bancada, com torneira giratória; Triturador de resíduos, </w:t>
            </w:r>
            <w:proofErr w:type="spellStart"/>
            <w:r>
              <w:rPr>
                <w:rFonts w:ascii="Arial" w:eastAsia="Calibri" w:hAnsi="Arial" w:cs="Arial"/>
              </w:rPr>
              <w:t>semi-industrial</w:t>
            </w:r>
            <w:proofErr w:type="spellEnd"/>
            <w:r>
              <w:rPr>
                <w:rFonts w:ascii="Arial" w:eastAsia="Calibri" w:hAnsi="Arial" w:cs="Arial"/>
              </w:rPr>
              <w:t xml:space="preserve">; Motor trifásico 4polos, 1750 RPM; Válvula </w:t>
            </w:r>
            <w:proofErr w:type="spellStart"/>
            <w:r>
              <w:rPr>
                <w:rFonts w:ascii="Arial" w:eastAsia="Calibri" w:hAnsi="Arial" w:cs="Arial"/>
              </w:rPr>
              <w:t>solenóide</w:t>
            </w:r>
            <w:proofErr w:type="spellEnd"/>
            <w:r>
              <w:rPr>
                <w:rFonts w:ascii="Arial" w:eastAsia="Calibri" w:hAnsi="Arial" w:cs="Arial"/>
              </w:rPr>
              <w:t xml:space="preserve">, dosador </w:t>
            </w:r>
            <w:proofErr w:type="spellStart"/>
            <w:r>
              <w:rPr>
                <w:rFonts w:ascii="Arial" w:eastAsia="Calibri" w:hAnsi="Arial" w:cs="Arial"/>
              </w:rPr>
              <w:t>antibactericida,quadro</w:t>
            </w:r>
            <w:proofErr w:type="spellEnd"/>
            <w:r>
              <w:rPr>
                <w:rFonts w:ascii="Arial" w:eastAsia="Calibri" w:hAnsi="Arial" w:cs="Arial"/>
              </w:rPr>
              <w:t xml:space="preserve"> de comando simples, disco e anel em aço inoxidável; Pés em tubo redondo ou quadrado de aço inox AISI 304 com regulagem de altura. (Modelo- SL-409/1; Voltagem 220v; dimensão interna (cuba); dimensão Externa L=750xP=2.600xA=900mm);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02</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06</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Cuba de Inox</w:t>
            </w:r>
            <w:r>
              <w:rPr>
                <w:rFonts w:ascii="Arial" w:eastAsia="Calibri" w:hAnsi="Arial" w:cs="Arial"/>
              </w:rPr>
              <w:t xml:space="preserve"> - 1/4 150 mm 26,5x15 com alça, para fixação de peças retiradas de necropsia para fins de pesquisa ou aulas.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01</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07</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Foco Cirúrgico Auxiliar 3 bulbos com sistema de emergência</w:t>
            </w:r>
            <w:r>
              <w:rPr>
                <w:rFonts w:ascii="Arial" w:eastAsia="Calibri" w:hAnsi="Arial" w:cs="Arial"/>
              </w:rPr>
              <w:t xml:space="preserve">: Sistema de iluminação com 3 bulbos; Luminosidade Aproximada de 60.000 LUX; Disponível nas versões 20.000 Lux, 80.000Lux, 100.000 lux e 120.000 Lux, sendo eles de 1, 3, 4, 5,6 bulbos respectivamente; Vida útil mínima esperada área as lâmpadas de 5.000 horas e média de 7.000 horas; Controle de membrana fixada ao gabinete principal com teclas em sete níveis de ajustes de intensidade luminosa (0 a 100 %); No modo emergência (bateria), a intensidade será a máxima; Alimentação elétrica selecionável 110 ou 220v. 50/60 </w:t>
            </w:r>
            <w:proofErr w:type="spellStart"/>
            <w:r>
              <w:rPr>
                <w:rFonts w:ascii="Arial" w:eastAsia="Calibri" w:hAnsi="Arial" w:cs="Arial"/>
              </w:rPr>
              <w:t>hz</w:t>
            </w:r>
            <w:proofErr w:type="spellEnd"/>
            <w:r>
              <w:rPr>
                <w:rFonts w:ascii="Arial" w:eastAsia="Calibri" w:hAnsi="Arial" w:cs="Arial"/>
              </w:rPr>
              <w:t>; Altura do holofote variável entre 1,60 a 2,20m, Projetado em conformidade aos requisitos das normas; NBR - IEC 60.601 - 2- 3;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01</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08</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Bacia Inox:</w:t>
            </w:r>
            <w:r>
              <w:rPr>
                <w:rFonts w:ascii="Arial" w:eastAsia="Calibri" w:hAnsi="Arial" w:cs="Arial"/>
              </w:rPr>
              <w:t xml:space="preserve"> 36 </w:t>
            </w:r>
            <w:proofErr w:type="gramStart"/>
            <w:r>
              <w:rPr>
                <w:rFonts w:ascii="Arial" w:eastAsia="Calibri" w:hAnsi="Arial" w:cs="Arial"/>
              </w:rPr>
              <w:t>cm(</w:t>
            </w:r>
            <w:proofErr w:type="gramEnd"/>
            <w:r>
              <w:rPr>
                <w:rFonts w:ascii="Arial" w:eastAsia="Calibri" w:hAnsi="Arial" w:cs="Arial"/>
              </w:rPr>
              <w:t>diâmetro) e 10 cm(altura)</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10</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09</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Bacia Inox:</w:t>
            </w:r>
            <w:r>
              <w:rPr>
                <w:rFonts w:ascii="Arial" w:eastAsia="Calibri" w:hAnsi="Arial" w:cs="Arial"/>
              </w:rPr>
              <w:t>41 cm capacidade 6.300 ml</w:t>
            </w:r>
          </w:p>
        </w:tc>
        <w:tc>
          <w:tcPr>
            <w:tcW w:w="827" w:type="dxa"/>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10</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10</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Bandeja retangular:</w:t>
            </w:r>
            <w:r>
              <w:rPr>
                <w:rFonts w:ascii="Arial" w:eastAsia="Calibri" w:hAnsi="Arial" w:cs="Arial"/>
              </w:rPr>
              <w:t xml:space="preserve"> de Inox lisa, 42cmx30cmx2 cm</w:t>
            </w:r>
          </w:p>
        </w:tc>
        <w:tc>
          <w:tcPr>
            <w:tcW w:w="827" w:type="dxa"/>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05</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11</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Bandeja retangular:</w:t>
            </w:r>
            <w:r>
              <w:rPr>
                <w:rFonts w:ascii="Arial" w:eastAsia="Calibri" w:hAnsi="Arial" w:cs="Arial"/>
              </w:rPr>
              <w:t xml:space="preserve"> de Inox lisa, 30cm x20cm x 4 cm</w:t>
            </w:r>
          </w:p>
        </w:tc>
        <w:tc>
          <w:tcPr>
            <w:tcW w:w="827" w:type="dxa"/>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08</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lastRenderedPageBreak/>
              <w:t>12</w:t>
            </w:r>
          </w:p>
        </w:tc>
        <w:tc>
          <w:tcPr>
            <w:tcW w:w="6460" w:type="dxa"/>
          </w:tcPr>
          <w:p w:rsidR="00931CAA" w:rsidRDefault="0082231B">
            <w:pPr>
              <w:widowControl w:val="0"/>
              <w:spacing w:before="120" w:after="0" w:line="360" w:lineRule="auto"/>
              <w:jc w:val="both"/>
              <w:rPr>
                <w:rFonts w:ascii="Arial" w:hAnsi="Arial" w:cs="Arial"/>
              </w:rPr>
            </w:pPr>
            <w:r>
              <w:rPr>
                <w:rFonts w:ascii="Arial" w:eastAsia="Calibri" w:hAnsi="Arial" w:cs="Arial"/>
                <w:b/>
              </w:rPr>
              <w:t xml:space="preserve">Balança Eletrônica </w:t>
            </w:r>
            <w:proofErr w:type="spellStart"/>
            <w:r>
              <w:rPr>
                <w:rFonts w:ascii="Arial" w:eastAsia="Calibri" w:hAnsi="Arial" w:cs="Arial"/>
                <w:b/>
              </w:rPr>
              <w:t>Digitalcapacidade</w:t>
            </w:r>
            <w:proofErr w:type="spellEnd"/>
            <w:r>
              <w:rPr>
                <w:rFonts w:ascii="Arial" w:eastAsia="Calibri" w:hAnsi="Arial" w:cs="Arial"/>
                <w:b/>
              </w:rPr>
              <w:t xml:space="preserve"> de 20 kg 110v/220v:</w:t>
            </w:r>
            <w:r>
              <w:rPr>
                <w:rFonts w:ascii="Arial" w:eastAsia="Calibri" w:hAnsi="Arial" w:cs="Arial"/>
              </w:rPr>
              <w:t xml:space="preserve"> com bateria de autonomia de no mínimo 100 horas, display em Led, prato em aço inox, largura 30cm a 35 cm e comprimento 30 cm a 35 cm; 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01</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13</w:t>
            </w:r>
          </w:p>
        </w:tc>
        <w:tc>
          <w:tcPr>
            <w:tcW w:w="6460" w:type="dxa"/>
          </w:tcPr>
          <w:p w:rsidR="00931CAA" w:rsidRDefault="0082231B">
            <w:pPr>
              <w:widowControl w:val="0"/>
              <w:spacing w:before="120" w:after="0" w:line="276" w:lineRule="auto"/>
              <w:jc w:val="both"/>
              <w:rPr>
                <w:rFonts w:ascii="Arial" w:hAnsi="Arial" w:cs="Arial"/>
              </w:rPr>
            </w:pPr>
            <w:r>
              <w:rPr>
                <w:rFonts w:ascii="Arial" w:eastAsia="Calibri" w:hAnsi="Arial" w:cs="Arial"/>
                <w:b/>
              </w:rPr>
              <w:t>Carro para transporte de cadáveres:</w:t>
            </w:r>
            <w:r>
              <w:rPr>
                <w:rFonts w:ascii="Arial" w:eastAsia="Calibri" w:hAnsi="Arial" w:cs="Arial"/>
              </w:rPr>
              <w:t xml:space="preserve"> construído em aço inox, dimensões: 1,90x 0,70 </w:t>
            </w:r>
            <w:proofErr w:type="gramStart"/>
            <w:r>
              <w:rPr>
                <w:rFonts w:ascii="Arial" w:eastAsia="Calibri" w:hAnsi="Arial" w:cs="Arial"/>
              </w:rPr>
              <w:t>x</w:t>
            </w:r>
            <w:proofErr w:type="gramEnd"/>
            <w:r>
              <w:rPr>
                <w:rFonts w:ascii="Arial" w:eastAsia="Calibri" w:hAnsi="Arial" w:cs="Arial"/>
              </w:rPr>
              <w:t xml:space="preserve"> 0,90 m, pés com rodízios no mínimo 5” sendo 02 com freios na posição diagonal, leito em chapa lisa em inox que convergem para o dreno de escoamento, apoio para balde sob o leito e capacidade máxima de 150 Kg.</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02</w:t>
            </w:r>
          </w:p>
        </w:tc>
      </w:tr>
      <w:tr w:rsidR="00931CAA">
        <w:trPr>
          <w:jc w:val="center"/>
        </w:trPr>
        <w:tc>
          <w:tcPr>
            <w:tcW w:w="742" w:type="dxa"/>
            <w:vAlign w:val="center"/>
          </w:tcPr>
          <w:p w:rsidR="00931CAA" w:rsidRDefault="0082231B">
            <w:pPr>
              <w:widowControl w:val="0"/>
              <w:spacing w:after="0" w:line="276" w:lineRule="auto"/>
              <w:jc w:val="center"/>
              <w:rPr>
                <w:rFonts w:ascii="Arial" w:hAnsi="Arial" w:cs="Arial"/>
                <w:b/>
              </w:rPr>
            </w:pPr>
            <w:r>
              <w:rPr>
                <w:rFonts w:ascii="Arial" w:eastAsia="Calibri" w:hAnsi="Arial" w:cs="Arial"/>
                <w:b/>
              </w:rPr>
              <w:t>14</w:t>
            </w:r>
          </w:p>
        </w:tc>
        <w:tc>
          <w:tcPr>
            <w:tcW w:w="6460" w:type="dxa"/>
          </w:tcPr>
          <w:p w:rsidR="00931CAA" w:rsidRDefault="0082231B">
            <w:pPr>
              <w:widowControl w:val="0"/>
              <w:spacing w:before="120" w:after="0" w:line="276" w:lineRule="auto"/>
              <w:jc w:val="both"/>
              <w:rPr>
                <w:rFonts w:ascii="Arial" w:eastAsia="Times New Roman" w:hAnsi="Arial" w:cs="Arial"/>
                <w:lang w:eastAsia="pt-BR"/>
              </w:rPr>
            </w:pPr>
            <w:r>
              <w:rPr>
                <w:rFonts w:ascii="Arial" w:eastAsia="Times New Roman" w:hAnsi="Arial" w:cs="Arial"/>
                <w:b/>
                <w:lang w:eastAsia="pt-BR"/>
              </w:rPr>
              <w:t xml:space="preserve">Câmara mortuária para conservação de 4 corpos </w:t>
            </w:r>
            <w:proofErr w:type="spellStart"/>
            <w:r>
              <w:rPr>
                <w:rFonts w:ascii="Arial" w:eastAsia="Times New Roman" w:hAnsi="Arial" w:cs="Arial"/>
                <w:b/>
                <w:lang w:eastAsia="pt-BR"/>
              </w:rPr>
              <w:t>Morgue:</w:t>
            </w:r>
            <w:r>
              <w:rPr>
                <w:rFonts w:ascii="Arial" w:eastAsia="Times New Roman" w:hAnsi="Arial" w:cs="Arial"/>
                <w:lang w:eastAsia="pt-BR"/>
              </w:rPr>
              <w:t>Câmara</w:t>
            </w:r>
            <w:proofErr w:type="spellEnd"/>
            <w:r>
              <w:rPr>
                <w:rFonts w:ascii="Arial" w:eastAsia="Times New Roman" w:hAnsi="Arial" w:cs="Arial"/>
                <w:lang w:eastAsia="pt-BR"/>
              </w:rPr>
              <w:t xml:space="preserve"> Mortuária4 corpos Construída externamente e internamente em Aço Inox AISI 304 ou 316 liga 18.10;sendo 01 (uma) gaveta para obeso modelo CDCD; Isolamento com injeção de poliuretano de alta densidade; Portas com isolamento em poliuretano apoiadas em dobradiças </w:t>
            </w:r>
            <w:proofErr w:type="spellStart"/>
            <w:r>
              <w:rPr>
                <w:rFonts w:ascii="Arial" w:eastAsia="Times New Roman" w:hAnsi="Arial" w:cs="Arial"/>
                <w:lang w:eastAsia="pt-BR"/>
              </w:rPr>
              <w:t>pivotantes</w:t>
            </w:r>
            <w:proofErr w:type="spellEnd"/>
            <w:r>
              <w:rPr>
                <w:rFonts w:ascii="Arial" w:eastAsia="Times New Roman" w:hAnsi="Arial" w:cs="Arial"/>
                <w:lang w:eastAsia="pt-BR"/>
              </w:rPr>
              <w:t xml:space="preserve"> em aço inox;– Puxadores especiais em </w:t>
            </w:r>
            <w:proofErr w:type="spellStart"/>
            <w:r>
              <w:rPr>
                <w:rFonts w:ascii="Arial" w:eastAsia="Times New Roman" w:hAnsi="Arial" w:cs="Arial"/>
                <w:lang w:eastAsia="pt-BR"/>
              </w:rPr>
              <w:t>baquelite</w:t>
            </w:r>
            <w:proofErr w:type="spellEnd"/>
            <w:r>
              <w:rPr>
                <w:rFonts w:ascii="Arial" w:eastAsia="Times New Roman" w:hAnsi="Arial" w:cs="Arial"/>
                <w:lang w:eastAsia="pt-BR"/>
              </w:rPr>
              <w:t xml:space="preserve">, trincos de alta pressão e gaxetas em silicone atóxico;– Trilhos internos telescópicos deslizante sobre roldanas de nylon para apoio das macas e sistema de parada com 03 estágios; Macas removíveis em aço inox (inclusas); Sistema de resfriamento tipo Split System (remoto); Unidade evaporadora e condensadora; Pés em tubo de aço inox Ø2.1/2”, com sapatas de regulagem em polietileno; (Opcional) Sistema de higienização de lavagem por ozônio, composto por pulverizadores helicoidais. – Bomba de pressurização externa de 1HP – interligado ao painel de comando com sistema de acionamento automático por sensor de tempo, ou acionamento manual; Fundo com inclinação para drenagem por gravidade durante processo de higienização; Sistema de iluminação em todos os compartimentos para baixas temperaturas; Controlador digital de temperatura; – Sistema de alarme sonoro emergencial incorporado; Portas com visor em vidro especial para identificação dos corpos; Temperatura de trabalho refrigerada: 2°C a 6°C; Temperatura de trabalho congelada: -18º a -20ºC. Tensão 220V; </w:t>
            </w:r>
            <w:r>
              <w:rPr>
                <w:rFonts w:ascii="Arial" w:hAnsi="Arial" w:cs="Arial"/>
              </w:rPr>
              <w:t>garantia de 12 meses.</w:t>
            </w:r>
          </w:p>
        </w:tc>
        <w:tc>
          <w:tcPr>
            <w:tcW w:w="82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UND</w:t>
            </w:r>
          </w:p>
        </w:tc>
        <w:tc>
          <w:tcPr>
            <w:tcW w:w="1067" w:type="dxa"/>
            <w:vAlign w:val="center"/>
          </w:tcPr>
          <w:p w:rsidR="00931CAA" w:rsidRDefault="0082231B">
            <w:pPr>
              <w:widowControl w:val="0"/>
              <w:spacing w:after="0" w:line="276" w:lineRule="auto"/>
              <w:jc w:val="center"/>
              <w:rPr>
                <w:rFonts w:ascii="Arial" w:hAnsi="Arial" w:cs="Arial"/>
              </w:rPr>
            </w:pPr>
            <w:r>
              <w:rPr>
                <w:rFonts w:ascii="Arial" w:eastAsia="Calibri" w:hAnsi="Arial" w:cs="Arial"/>
              </w:rPr>
              <w:t>04</w:t>
            </w:r>
          </w:p>
        </w:tc>
      </w:tr>
    </w:tbl>
    <w:p w:rsidR="00931CAA" w:rsidRDefault="00931CAA">
      <w:pPr>
        <w:tabs>
          <w:tab w:val="left" w:pos="851"/>
        </w:tabs>
        <w:spacing w:after="0" w:line="240" w:lineRule="auto"/>
        <w:jc w:val="both"/>
        <w:rPr>
          <w:rFonts w:ascii="Arial" w:hAnsi="Arial" w:cs="Arial"/>
          <w:b/>
          <w:sz w:val="24"/>
          <w:szCs w:val="24"/>
        </w:rPr>
      </w:pPr>
    </w:p>
    <w:p w:rsidR="00931CAA" w:rsidRDefault="0082231B">
      <w:pPr>
        <w:spacing w:after="0" w:line="360" w:lineRule="auto"/>
        <w:jc w:val="both"/>
        <w:rPr>
          <w:rFonts w:ascii="Arial" w:hAnsi="Arial" w:cs="Arial"/>
          <w:b/>
          <w:sz w:val="24"/>
          <w:szCs w:val="24"/>
        </w:rPr>
      </w:pPr>
      <w:r>
        <w:rPr>
          <w:rFonts w:ascii="Arial" w:hAnsi="Arial" w:cs="Arial"/>
          <w:b/>
          <w:sz w:val="24"/>
          <w:szCs w:val="24"/>
        </w:rPr>
        <w:t xml:space="preserve">2.1. </w:t>
      </w:r>
      <w:r>
        <w:rPr>
          <w:rFonts w:ascii="Arial" w:hAnsi="Arial" w:cs="Arial"/>
          <w:sz w:val="24"/>
          <w:szCs w:val="24"/>
        </w:rPr>
        <w:t xml:space="preserve">Os equipamentos: Mesa de </w:t>
      </w:r>
      <w:proofErr w:type="spellStart"/>
      <w:r>
        <w:rPr>
          <w:rFonts w:ascii="Arial" w:hAnsi="Arial" w:cs="Arial"/>
          <w:sz w:val="24"/>
          <w:szCs w:val="24"/>
        </w:rPr>
        <w:t>Necrópsia</w:t>
      </w:r>
      <w:proofErr w:type="spellEnd"/>
      <w:r>
        <w:rPr>
          <w:rFonts w:ascii="Arial" w:hAnsi="Arial" w:cs="Arial"/>
          <w:sz w:val="24"/>
          <w:szCs w:val="24"/>
        </w:rPr>
        <w:t xml:space="preserve"> com Suporte Craniano e Triturador, Foco Cirúrgico Auxiliar 3 bulbos com sistema de emergência e Câmara mortuária para conservação de 4 corpos Morgue, deverão ser entregues pelo fornecedor se responsabilizando pela </w:t>
      </w:r>
      <w:r>
        <w:rPr>
          <w:rFonts w:ascii="Arial" w:hAnsi="Arial" w:cs="Arial"/>
          <w:b/>
          <w:sz w:val="24"/>
          <w:szCs w:val="24"/>
        </w:rPr>
        <w:t xml:space="preserve">instalação, montagem, </w:t>
      </w:r>
      <w:r>
        <w:rPr>
          <w:rFonts w:ascii="Arial" w:hAnsi="Arial" w:cs="Arial"/>
          <w:sz w:val="24"/>
          <w:szCs w:val="24"/>
        </w:rPr>
        <w:t xml:space="preserve">e pelo </w:t>
      </w:r>
      <w:r>
        <w:rPr>
          <w:rFonts w:ascii="Arial" w:hAnsi="Arial" w:cs="Arial"/>
          <w:b/>
          <w:sz w:val="24"/>
          <w:szCs w:val="24"/>
        </w:rPr>
        <w:t>teste de funcionamento.</w:t>
      </w:r>
    </w:p>
    <w:p w:rsidR="0082231B" w:rsidRPr="0082231B" w:rsidRDefault="0082231B">
      <w:pPr>
        <w:spacing w:after="0" w:line="360" w:lineRule="auto"/>
        <w:jc w:val="both"/>
        <w:rPr>
          <w:rFonts w:ascii="Arial" w:hAnsi="Arial" w:cs="Arial"/>
          <w:sz w:val="24"/>
          <w:szCs w:val="24"/>
        </w:rPr>
      </w:pPr>
      <w:r>
        <w:rPr>
          <w:rFonts w:ascii="Arial" w:hAnsi="Arial" w:cs="Arial"/>
          <w:b/>
          <w:sz w:val="24"/>
          <w:szCs w:val="24"/>
        </w:rPr>
        <w:t xml:space="preserve">2.2. </w:t>
      </w:r>
      <w:r w:rsidRPr="0082231B">
        <w:rPr>
          <w:rFonts w:ascii="Arial" w:hAnsi="Arial" w:cs="Arial"/>
          <w:sz w:val="24"/>
          <w:szCs w:val="24"/>
        </w:rPr>
        <w:t>O critério</w:t>
      </w:r>
      <w:r>
        <w:rPr>
          <w:rFonts w:ascii="Arial" w:hAnsi="Arial" w:cs="Arial"/>
          <w:b/>
          <w:sz w:val="24"/>
          <w:szCs w:val="24"/>
        </w:rPr>
        <w:t xml:space="preserve"> </w:t>
      </w:r>
      <w:r>
        <w:rPr>
          <w:rFonts w:ascii="Arial" w:hAnsi="Arial" w:cs="Arial"/>
          <w:sz w:val="24"/>
          <w:szCs w:val="24"/>
        </w:rPr>
        <w:t xml:space="preserve">de julgamento será o </w:t>
      </w:r>
      <w:r w:rsidRPr="0082231B">
        <w:rPr>
          <w:rFonts w:ascii="Arial" w:hAnsi="Arial" w:cs="Arial"/>
          <w:b/>
          <w:sz w:val="24"/>
          <w:szCs w:val="24"/>
        </w:rPr>
        <w:t>menor preço por item.</w:t>
      </w:r>
      <w:r>
        <w:rPr>
          <w:rFonts w:ascii="Arial" w:hAnsi="Arial" w:cs="Arial"/>
          <w:sz w:val="24"/>
          <w:szCs w:val="24"/>
        </w:rPr>
        <w:t xml:space="preserve"> </w:t>
      </w:r>
    </w:p>
    <w:p w:rsidR="00931CAA" w:rsidRDefault="0082231B">
      <w:pPr>
        <w:spacing w:before="240" w:after="120" w:line="276" w:lineRule="auto"/>
        <w:ind w:right="-992"/>
        <w:jc w:val="both"/>
        <w:rPr>
          <w:rFonts w:ascii="Arial" w:hAnsi="Arial" w:cs="Arial"/>
          <w:b/>
          <w:sz w:val="24"/>
          <w:szCs w:val="24"/>
        </w:rPr>
      </w:pPr>
      <w:r>
        <w:rPr>
          <w:rFonts w:ascii="Arial" w:hAnsi="Arial" w:cs="Arial"/>
          <w:b/>
          <w:bCs/>
          <w:sz w:val="24"/>
          <w:szCs w:val="24"/>
        </w:rPr>
        <w:lastRenderedPageBreak/>
        <w:t>3.</w:t>
      </w:r>
      <w:bookmarkStart w:id="1" w:name="_Hlk69799419"/>
      <w:r>
        <w:rPr>
          <w:rFonts w:ascii="Arial" w:hAnsi="Arial" w:cs="Arial"/>
          <w:b/>
          <w:bCs/>
          <w:sz w:val="24"/>
          <w:szCs w:val="24"/>
        </w:rPr>
        <w:t xml:space="preserve"> </w:t>
      </w:r>
      <w:r>
        <w:rPr>
          <w:rFonts w:ascii="Arial" w:hAnsi="Arial" w:cs="Arial"/>
          <w:b/>
          <w:sz w:val="24"/>
          <w:szCs w:val="24"/>
        </w:rPr>
        <w:t>CLASSIFICAÇÃO DOS BENS</w:t>
      </w:r>
    </w:p>
    <w:p w:rsidR="00931CAA" w:rsidRDefault="0082231B">
      <w:pPr>
        <w:spacing w:after="0" w:line="276" w:lineRule="auto"/>
        <w:ind w:right="-1"/>
        <w:jc w:val="both"/>
        <w:rPr>
          <w:rFonts w:ascii="Arial" w:hAnsi="Arial" w:cs="Arial"/>
          <w:sz w:val="24"/>
          <w:szCs w:val="24"/>
        </w:rPr>
      </w:pPr>
      <w:r>
        <w:rPr>
          <w:rFonts w:ascii="Arial" w:hAnsi="Arial" w:cs="Arial"/>
          <w:b/>
          <w:sz w:val="24"/>
          <w:szCs w:val="24"/>
        </w:rPr>
        <w:t>3.1.</w:t>
      </w:r>
      <w:bookmarkEnd w:id="1"/>
      <w:r>
        <w:rPr>
          <w:rFonts w:ascii="Arial" w:hAnsi="Arial" w:cs="Arial"/>
          <w:b/>
          <w:sz w:val="24"/>
          <w:szCs w:val="24"/>
        </w:rPr>
        <w:t xml:space="preserve"> </w:t>
      </w:r>
      <w:r>
        <w:rPr>
          <w:rFonts w:ascii="Arial" w:hAnsi="Arial" w:cs="Arial"/>
          <w:sz w:val="24"/>
          <w:szCs w:val="24"/>
        </w:rPr>
        <w:t>Os itens cuja aquisição se pretende são de natureza comum, enquadrando-se na classificação do artigo 1°, parágrafo único, da Lei Federal n.º 10.520, de 17 de julho de 2002, e do artigo 2º, parágrafo único, do Decreto Municipal n.º 022, de 25 de março de 2009.</w:t>
      </w:r>
    </w:p>
    <w:p w:rsidR="00931CAA" w:rsidRDefault="0082231B">
      <w:pPr>
        <w:spacing w:before="240" w:after="0" w:line="360" w:lineRule="auto"/>
        <w:jc w:val="both"/>
        <w:rPr>
          <w:rFonts w:ascii="Arial" w:hAnsi="Arial" w:cs="Arial"/>
          <w:b/>
          <w:bCs/>
          <w:sz w:val="24"/>
          <w:szCs w:val="24"/>
        </w:rPr>
      </w:pPr>
      <w:r>
        <w:rPr>
          <w:rFonts w:ascii="Arial" w:hAnsi="Arial" w:cs="Arial"/>
          <w:b/>
          <w:bCs/>
          <w:sz w:val="24"/>
          <w:szCs w:val="24"/>
        </w:rPr>
        <w:t>4. DA JUSTIFICATIVA E OBJETIVO DA CONTRATAÇÃO</w:t>
      </w:r>
    </w:p>
    <w:p w:rsidR="00931CAA" w:rsidRDefault="0082231B">
      <w:pPr>
        <w:spacing w:before="120" w:after="0" w:line="276" w:lineRule="auto"/>
        <w:jc w:val="both"/>
        <w:rPr>
          <w:rFonts w:ascii="Arial" w:hAnsi="Arial" w:cs="Arial"/>
          <w:sz w:val="24"/>
          <w:szCs w:val="24"/>
        </w:rPr>
      </w:pPr>
      <w:r>
        <w:rPr>
          <w:rFonts w:ascii="Arial" w:hAnsi="Arial" w:cs="Arial"/>
          <w:b/>
          <w:bCs/>
          <w:sz w:val="24"/>
          <w:szCs w:val="24"/>
        </w:rPr>
        <w:t xml:space="preserve">4.1. </w:t>
      </w:r>
      <w:r>
        <w:rPr>
          <w:rFonts w:ascii="Arial" w:hAnsi="Arial" w:cs="Arial"/>
          <w:bCs/>
          <w:sz w:val="24"/>
          <w:szCs w:val="24"/>
        </w:rPr>
        <w:t xml:space="preserve">A existência de óbitos por causa indeterminada é uma constante no Município de Itaboraí, </w:t>
      </w:r>
      <w:r>
        <w:rPr>
          <w:rFonts w:ascii="Arial" w:hAnsi="Arial" w:cs="Arial"/>
          <w:sz w:val="24"/>
          <w:szCs w:val="24"/>
        </w:rPr>
        <w:t xml:space="preserve">ou seja, óbito em </w:t>
      </w:r>
      <w:proofErr w:type="spellStart"/>
      <w:r>
        <w:rPr>
          <w:rFonts w:ascii="Arial" w:hAnsi="Arial" w:cs="Arial"/>
          <w:sz w:val="24"/>
          <w:szCs w:val="24"/>
        </w:rPr>
        <w:t>adulto</w:t>
      </w:r>
      <w:proofErr w:type="spellEnd"/>
      <w:r>
        <w:rPr>
          <w:rFonts w:ascii="Arial" w:hAnsi="Arial" w:cs="Arial"/>
          <w:sz w:val="24"/>
          <w:szCs w:val="24"/>
        </w:rPr>
        <w:t xml:space="preserve"> jovem saudável sem causa aparente, óbitos domiciliares sem assistência médica e não suspeitos de causa externa, óbitos em Pronto Atendimento (Pronto Socorros) sem causa conhecida ou suspeito de ter sido causado por doença de notificação compulsória;</w:t>
      </w:r>
    </w:p>
    <w:p w:rsidR="00931CAA" w:rsidRDefault="0082231B">
      <w:pPr>
        <w:spacing w:before="120" w:after="0" w:line="276" w:lineRule="auto"/>
        <w:jc w:val="both"/>
        <w:rPr>
          <w:rFonts w:ascii="Arial" w:hAnsi="Arial" w:cs="Arial"/>
          <w:sz w:val="24"/>
          <w:szCs w:val="24"/>
          <w:shd w:val="clear" w:color="auto" w:fill="FFFFFF"/>
        </w:rPr>
      </w:pPr>
      <w:r>
        <w:rPr>
          <w:rFonts w:ascii="Arial" w:hAnsi="Arial" w:cs="Arial"/>
          <w:b/>
          <w:sz w:val="24"/>
          <w:szCs w:val="24"/>
        </w:rPr>
        <w:t xml:space="preserve">4.2. </w:t>
      </w:r>
      <w:r>
        <w:rPr>
          <w:rFonts w:ascii="Arial" w:hAnsi="Arial" w:cs="Arial"/>
          <w:sz w:val="24"/>
          <w:szCs w:val="24"/>
          <w:shd w:val="clear" w:color="auto" w:fill="FFFFFF"/>
        </w:rPr>
        <w:t xml:space="preserve">As estatísticas de mortalidade constituem-se como importante subsídio para o conhecimento do perfil epidemiológico de uma população e elaboração de indicadores de saúde e </w:t>
      </w:r>
      <w:proofErr w:type="spellStart"/>
      <w:r>
        <w:rPr>
          <w:rFonts w:ascii="Arial" w:hAnsi="Arial" w:cs="Arial"/>
          <w:sz w:val="24"/>
          <w:szCs w:val="24"/>
          <w:shd w:val="clear" w:color="auto" w:fill="FFFFFF"/>
        </w:rPr>
        <w:t>conseqüente</w:t>
      </w:r>
      <w:proofErr w:type="spellEnd"/>
      <w:r>
        <w:rPr>
          <w:rFonts w:ascii="Arial" w:hAnsi="Arial" w:cs="Arial"/>
          <w:sz w:val="24"/>
          <w:szCs w:val="24"/>
          <w:shd w:val="clear" w:color="auto" w:fill="FFFFFF"/>
        </w:rPr>
        <w:t xml:space="preserve"> planejamento de ações desse setor;</w:t>
      </w:r>
    </w:p>
    <w:p w:rsidR="00931CAA" w:rsidRDefault="0082231B">
      <w:pPr>
        <w:spacing w:before="120" w:after="0" w:line="276" w:lineRule="auto"/>
        <w:jc w:val="both"/>
        <w:rPr>
          <w:rFonts w:ascii="Arial" w:hAnsi="Arial" w:cs="Arial"/>
          <w:sz w:val="24"/>
          <w:szCs w:val="24"/>
        </w:rPr>
      </w:pPr>
      <w:r>
        <w:rPr>
          <w:rFonts w:ascii="Arial" w:hAnsi="Arial" w:cs="Arial"/>
          <w:b/>
          <w:bCs/>
          <w:sz w:val="24"/>
          <w:szCs w:val="24"/>
        </w:rPr>
        <w:t xml:space="preserve">4.3. </w:t>
      </w:r>
      <w:r>
        <w:rPr>
          <w:rFonts w:ascii="Arial" w:hAnsi="Arial" w:cs="Arial"/>
          <w:sz w:val="24"/>
          <w:szCs w:val="24"/>
        </w:rPr>
        <w:t xml:space="preserve">A implantação do Serviço de Verificação de Óbitos (SVO) possibilita a detecção das emergências epidemiológicas, o diagnóstico isolado ou surtos de doenças emergentes e </w:t>
      </w:r>
      <w:proofErr w:type="spellStart"/>
      <w:r>
        <w:rPr>
          <w:rFonts w:ascii="Arial" w:hAnsi="Arial" w:cs="Arial"/>
          <w:sz w:val="24"/>
          <w:szCs w:val="24"/>
        </w:rPr>
        <w:t>reemergentes</w:t>
      </w:r>
      <w:proofErr w:type="spellEnd"/>
      <w:r>
        <w:rPr>
          <w:rFonts w:ascii="Arial" w:hAnsi="Arial" w:cs="Arial"/>
          <w:sz w:val="24"/>
          <w:szCs w:val="24"/>
        </w:rPr>
        <w:t xml:space="preserve"> e ainda agravos inusitados, orientando a tomada de decisões para o controle de doenças, bem como permite o aprimoramento da qualidade da informação de mortalidade para subsidiar as políticas de saúde;</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O serviço possibilita a investigação clínica mediante a realização de exames “post-mortem”, especialmente para a elucidação diagnóstica, visando oferecer subsídios para a implementação de políticas de saúde pública, observando as reais causas de morte e necessidades do município e região para prevenção de doenças relacionadas às mesmas;</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 xml:space="preserve">4.5. </w:t>
      </w:r>
      <w:r>
        <w:rPr>
          <w:rFonts w:ascii="Arial" w:hAnsi="Arial" w:cs="Arial"/>
          <w:sz w:val="24"/>
          <w:szCs w:val="24"/>
        </w:rPr>
        <w:t xml:space="preserve">Diferente do IML, que funciona para esclarecer mortes por causas violentas e/ou acidentais, o SVO tem a função de pesquisar as causas de óbito por morte natural, em </w:t>
      </w:r>
      <w:proofErr w:type="spellStart"/>
      <w:r>
        <w:rPr>
          <w:rFonts w:ascii="Arial" w:hAnsi="Arial" w:cs="Arial"/>
          <w:sz w:val="24"/>
          <w:szCs w:val="24"/>
        </w:rPr>
        <w:t>conseqüência</w:t>
      </w:r>
      <w:proofErr w:type="spellEnd"/>
      <w:r>
        <w:rPr>
          <w:rFonts w:ascii="Arial" w:hAnsi="Arial" w:cs="Arial"/>
          <w:sz w:val="24"/>
          <w:szCs w:val="24"/>
        </w:rPr>
        <w:t xml:space="preserve"> de alguma patologia que não pode ser identificada pelos métodos clínicos habituais ou em óbitos ocorridos sem assistência médica;</w:t>
      </w:r>
    </w:p>
    <w:p w:rsidR="00931CAA" w:rsidRDefault="0082231B">
      <w:pPr>
        <w:spacing w:before="120" w:after="0" w:line="276" w:lineRule="auto"/>
        <w:jc w:val="both"/>
        <w:rPr>
          <w:rFonts w:ascii="Arial" w:hAnsi="Arial" w:cs="Arial"/>
          <w:b/>
          <w:bCs/>
          <w:sz w:val="24"/>
          <w:szCs w:val="24"/>
        </w:rPr>
      </w:pPr>
      <w:r>
        <w:rPr>
          <w:rFonts w:ascii="Arial" w:hAnsi="Arial" w:cs="Arial"/>
          <w:b/>
          <w:bCs/>
          <w:sz w:val="24"/>
          <w:szCs w:val="24"/>
        </w:rPr>
        <w:t xml:space="preserve">4.6. </w:t>
      </w:r>
      <w:r>
        <w:rPr>
          <w:rFonts w:ascii="Arial" w:hAnsi="Arial" w:cs="Arial"/>
          <w:sz w:val="24"/>
          <w:szCs w:val="24"/>
        </w:rPr>
        <w:t>A criação do serviço é fundamental para a comunidade e gera um impacto positivo na saúde e na proteção social, já que, a partir da informação correta da “causa mortis”, os gestores da saúde terão subsídios para traçar diretrizes e políticas de saúde, aumentando a eficiência das ações e, por conseguinte, o combate e controle das doenças que ameaçam a vida das pessoas.</w:t>
      </w:r>
    </w:p>
    <w:p w:rsidR="00931CAA" w:rsidRDefault="0082231B">
      <w:pPr>
        <w:pStyle w:val="Nivel1"/>
        <w:tabs>
          <w:tab w:val="left" w:pos="284"/>
        </w:tabs>
        <w:spacing w:before="240" w:after="0"/>
        <w:rPr>
          <w:color w:val="auto"/>
          <w:sz w:val="24"/>
          <w:szCs w:val="24"/>
        </w:rPr>
      </w:pPr>
      <w:r>
        <w:rPr>
          <w:color w:val="auto"/>
          <w:sz w:val="24"/>
          <w:szCs w:val="24"/>
        </w:rPr>
        <w:t>5. ENTREGA E CRITÉRIOS DE ACEITAÇÃO DO OBJETO</w:t>
      </w:r>
    </w:p>
    <w:p w:rsidR="00931CAA" w:rsidRDefault="0082231B">
      <w:pPr>
        <w:tabs>
          <w:tab w:val="left" w:pos="284"/>
        </w:tabs>
        <w:spacing w:before="120" w:after="0" w:line="276" w:lineRule="auto"/>
        <w:jc w:val="both"/>
        <w:textAlignment w:val="baseline"/>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.1.</w:t>
      </w:r>
      <w:r>
        <w:rPr>
          <w:rFonts w:ascii="Arial" w:eastAsia="Calibri" w:hAnsi="Arial" w:cs="Arial"/>
          <w:sz w:val="24"/>
          <w:szCs w:val="24"/>
        </w:rPr>
        <w:t xml:space="preserve"> A entrega dos equipamentos e materiais deverá ser realizada em até </w:t>
      </w:r>
      <w:r>
        <w:rPr>
          <w:rFonts w:ascii="Arial" w:hAnsi="Arial" w:cs="Arial"/>
          <w:sz w:val="24"/>
          <w:szCs w:val="24"/>
        </w:rPr>
        <w:t>3</w:t>
      </w:r>
      <w:r>
        <w:rPr>
          <w:rFonts w:ascii="Arial" w:eastAsia="Calibri" w:hAnsi="Arial" w:cs="Arial"/>
          <w:sz w:val="24"/>
          <w:szCs w:val="24"/>
        </w:rPr>
        <w:t>0 (trinta) dias corridos, após o recebimento da Ordem de Fornecimento;</w:t>
      </w:r>
    </w:p>
    <w:p w:rsidR="00931CAA" w:rsidRDefault="0082231B">
      <w:pPr>
        <w:tabs>
          <w:tab w:val="left" w:pos="0"/>
        </w:tabs>
        <w:spacing w:before="120" w:after="0" w:line="276" w:lineRule="auto"/>
        <w:jc w:val="both"/>
        <w:textAlignment w:val="baseline"/>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 xml:space="preserve">.2. </w:t>
      </w:r>
      <w:r>
        <w:rPr>
          <w:rFonts w:ascii="Arial" w:hAnsi="Arial" w:cs="Arial"/>
          <w:sz w:val="24"/>
          <w:szCs w:val="24"/>
        </w:rPr>
        <w:t xml:space="preserve">Os equipamentos e materiais deverão ser entregues no Almoxarifado Central, situado na Rua Dr. Pereira dos Santos, </w:t>
      </w:r>
      <w:r>
        <w:rPr>
          <w:rFonts w:ascii="Arial" w:eastAsia="Calibri" w:hAnsi="Arial" w:cs="Arial"/>
          <w:sz w:val="24"/>
          <w:szCs w:val="24"/>
        </w:rPr>
        <w:t>s/nº</w:t>
      </w:r>
      <w:r>
        <w:rPr>
          <w:rFonts w:ascii="Arial" w:eastAsia="Calibri" w:hAnsi="Arial" w:cs="Arial"/>
          <w:sz w:val="24"/>
          <w:szCs w:val="24"/>
          <w:shd w:val="clear" w:color="auto" w:fill="FFFFFF"/>
        </w:rPr>
        <w:t xml:space="preserve">, CEP: 24.800-041, Centro – Itaboraí/RJ </w:t>
      </w:r>
      <w:r>
        <w:rPr>
          <w:rFonts w:ascii="Arial" w:eastAsia="Calibri" w:hAnsi="Arial" w:cs="Arial"/>
          <w:sz w:val="24"/>
          <w:szCs w:val="24"/>
        </w:rPr>
        <w:t>(antigo Restaurante Popular)</w:t>
      </w:r>
      <w:r>
        <w:rPr>
          <w:rFonts w:ascii="Arial" w:eastAsia="Calibri" w:hAnsi="Arial" w:cs="Arial"/>
          <w:sz w:val="24"/>
          <w:szCs w:val="24"/>
          <w:shd w:val="clear" w:color="auto" w:fill="FFFFFF"/>
        </w:rPr>
        <w:t>, de segunda a sexta–feira, no horário de 09:00 as 16:00 horas, exceto feriados nacionais, locais e pontos facultativos</w:t>
      </w:r>
      <w:r>
        <w:rPr>
          <w:rFonts w:ascii="Arial" w:eastAsia="Calibri" w:hAnsi="Arial" w:cs="Arial"/>
          <w:sz w:val="24"/>
          <w:szCs w:val="24"/>
        </w:rPr>
        <w:t>;</w:t>
      </w:r>
    </w:p>
    <w:p w:rsidR="00931CAA" w:rsidRDefault="0082231B">
      <w:pPr>
        <w:tabs>
          <w:tab w:val="left" w:pos="0"/>
        </w:tabs>
        <w:spacing w:before="120" w:after="0" w:line="276" w:lineRule="auto"/>
        <w:jc w:val="both"/>
        <w:textAlignment w:val="baseline"/>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 xml:space="preserve">.3. </w:t>
      </w:r>
      <w:r>
        <w:rPr>
          <w:rFonts w:ascii="Arial" w:hAnsi="Arial" w:cs="Arial"/>
          <w:sz w:val="24"/>
          <w:szCs w:val="24"/>
        </w:rPr>
        <w:t>Os equipamentos e materiais deverão</w:t>
      </w:r>
      <w:r>
        <w:rPr>
          <w:rFonts w:ascii="Arial" w:eastAsia="Calibri" w:hAnsi="Arial" w:cs="Arial"/>
          <w:sz w:val="24"/>
          <w:szCs w:val="24"/>
        </w:rPr>
        <w:t xml:space="preserve"> ser entregue</w:t>
      </w:r>
      <w:r>
        <w:rPr>
          <w:rFonts w:ascii="Arial" w:hAnsi="Arial" w:cs="Arial"/>
          <w:sz w:val="24"/>
          <w:szCs w:val="24"/>
        </w:rPr>
        <w:t>s</w:t>
      </w:r>
      <w:r>
        <w:rPr>
          <w:rFonts w:ascii="Arial" w:eastAsia="Calibri" w:hAnsi="Arial" w:cs="Arial"/>
          <w:sz w:val="24"/>
          <w:szCs w:val="24"/>
        </w:rPr>
        <w:t xml:space="preserve"> sem defeitos, na quantidade especificada na Ordem de Fornecimento e atender às especificações contidas neste Termo de Referência e na proposta da licitante vencedora do certame;</w:t>
      </w:r>
    </w:p>
    <w:p w:rsidR="00931CAA" w:rsidRDefault="0082231B">
      <w:pPr>
        <w:tabs>
          <w:tab w:val="left" w:pos="0"/>
          <w:tab w:val="left" w:pos="426"/>
        </w:tabs>
        <w:spacing w:before="120" w:after="120" w:line="276" w:lineRule="auto"/>
        <w:ind w:right="-143"/>
        <w:jc w:val="both"/>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.4.</w:t>
      </w:r>
      <w:r>
        <w:rPr>
          <w:rFonts w:ascii="Arial" w:eastAsia="Calibri" w:hAnsi="Arial" w:cs="Arial"/>
          <w:sz w:val="24"/>
          <w:szCs w:val="24"/>
        </w:rPr>
        <w:t xml:space="preserve"> O recebimento provisório </w:t>
      </w:r>
      <w:r>
        <w:rPr>
          <w:rFonts w:ascii="Arial" w:hAnsi="Arial" w:cs="Arial"/>
          <w:sz w:val="24"/>
          <w:szCs w:val="24"/>
        </w:rPr>
        <w:t xml:space="preserve">dos equipamentos e materiais </w:t>
      </w:r>
      <w:r>
        <w:rPr>
          <w:rFonts w:ascii="Arial" w:eastAsia="Calibri" w:hAnsi="Arial" w:cs="Arial"/>
          <w:sz w:val="24"/>
          <w:szCs w:val="24"/>
        </w:rPr>
        <w:t>entregue</w:t>
      </w:r>
      <w:r>
        <w:rPr>
          <w:rFonts w:ascii="Arial" w:hAnsi="Arial" w:cs="Arial"/>
          <w:sz w:val="24"/>
          <w:szCs w:val="24"/>
        </w:rPr>
        <w:t xml:space="preserve">s </w:t>
      </w:r>
      <w:r>
        <w:rPr>
          <w:rFonts w:ascii="Arial" w:eastAsia="Calibri" w:hAnsi="Arial" w:cs="Arial"/>
          <w:sz w:val="24"/>
          <w:szCs w:val="24"/>
        </w:rPr>
        <w:t xml:space="preserve">se dará no prazo de 5 (cinco) dias após a entrega, e caberá ao responsável pelo acompanhamento e fiscalização do contrato, para efeito de posterior verificação da conformidade </w:t>
      </w:r>
      <w:proofErr w:type="gramStart"/>
      <w:r>
        <w:rPr>
          <w:rFonts w:ascii="Arial" w:eastAsia="Calibri" w:hAnsi="Arial" w:cs="Arial"/>
          <w:sz w:val="24"/>
          <w:szCs w:val="24"/>
        </w:rPr>
        <w:t>do(</w:t>
      </w:r>
      <w:proofErr w:type="gramEnd"/>
      <w:r>
        <w:rPr>
          <w:rFonts w:ascii="Arial" w:eastAsia="Calibri" w:hAnsi="Arial" w:cs="Arial"/>
          <w:sz w:val="24"/>
          <w:szCs w:val="24"/>
        </w:rPr>
        <w:t>s) produto(s) com as especificações constantes nos instrumentos convocatórios, notadamente neste Termo de Referência e na proposta apresentada pelo vencedor;</w:t>
      </w:r>
    </w:p>
    <w:p w:rsidR="00931CAA" w:rsidRDefault="0082231B">
      <w:pPr>
        <w:tabs>
          <w:tab w:val="left" w:pos="0"/>
          <w:tab w:val="left" w:pos="426"/>
        </w:tabs>
        <w:spacing w:before="120" w:after="120" w:line="276" w:lineRule="auto"/>
        <w:ind w:right="-143"/>
        <w:jc w:val="both"/>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.5.</w:t>
      </w:r>
      <w:r>
        <w:rPr>
          <w:rFonts w:ascii="Arial" w:eastAsia="Calibri" w:hAnsi="Arial" w:cs="Arial"/>
          <w:sz w:val="24"/>
          <w:szCs w:val="24"/>
        </w:rPr>
        <w:t xml:space="preserve"> O</w:t>
      </w:r>
      <w:r>
        <w:rPr>
          <w:rFonts w:ascii="Arial" w:hAnsi="Arial" w:cs="Arial"/>
          <w:sz w:val="24"/>
          <w:szCs w:val="24"/>
        </w:rPr>
        <w:t>s equipamentos e materiais poderão</w:t>
      </w:r>
      <w:r>
        <w:rPr>
          <w:rFonts w:ascii="Arial" w:eastAsia="Calibri" w:hAnsi="Arial" w:cs="Arial"/>
          <w:sz w:val="24"/>
          <w:szCs w:val="24"/>
        </w:rPr>
        <w:t xml:space="preserve"> ser rejeitado</w:t>
      </w:r>
      <w:r>
        <w:rPr>
          <w:rFonts w:ascii="Arial" w:hAnsi="Arial" w:cs="Arial"/>
          <w:sz w:val="24"/>
          <w:szCs w:val="24"/>
        </w:rPr>
        <w:t>s</w:t>
      </w:r>
      <w:r>
        <w:rPr>
          <w:rFonts w:ascii="Arial" w:eastAsia="Calibri" w:hAnsi="Arial" w:cs="Arial"/>
          <w:sz w:val="24"/>
          <w:szCs w:val="24"/>
        </w:rPr>
        <w:t xml:space="preserve">, no todo ou em parte, quando em desacordo com as especificações constantes nos instrumentos convocatórios (Edital, Termo de Referência e Proposta), devendo ser substituídos no prazo de </w:t>
      </w:r>
      <w:r>
        <w:rPr>
          <w:rFonts w:ascii="Arial" w:hAnsi="Arial" w:cs="Arial"/>
          <w:sz w:val="24"/>
          <w:szCs w:val="24"/>
        </w:rPr>
        <w:t>5</w:t>
      </w:r>
      <w:r>
        <w:rPr>
          <w:rFonts w:ascii="Arial" w:eastAsia="Calibri" w:hAnsi="Arial" w:cs="Arial"/>
          <w:sz w:val="24"/>
          <w:szCs w:val="24"/>
        </w:rPr>
        <w:t xml:space="preserve"> (</w:t>
      </w:r>
      <w:r>
        <w:rPr>
          <w:rFonts w:ascii="Arial" w:hAnsi="Arial" w:cs="Arial"/>
          <w:sz w:val="24"/>
          <w:szCs w:val="24"/>
        </w:rPr>
        <w:t>cinco</w:t>
      </w:r>
      <w:r>
        <w:rPr>
          <w:rFonts w:ascii="Arial" w:eastAsia="Calibri" w:hAnsi="Arial" w:cs="Arial"/>
          <w:sz w:val="24"/>
          <w:szCs w:val="24"/>
        </w:rPr>
        <w:t>) dias corridos a contar da notificação da contratada, às suas custas, sem prejuízo da aplicação de penalidades;</w:t>
      </w:r>
    </w:p>
    <w:p w:rsidR="00931CAA" w:rsidRDefault="0082231B">
      <w:pPr>
        <w:tabs>
          <w:tab w:val="left" w:pos="0"/>
          <w:tab w:val="left" w:pos="426"/>
        </w:tabs>
        <w:spacing w:before="120" w:after="120" w:line="276" w:lineRule="auto"/>
        <w:ind w:right="-143"/>
        <w:jc w:val="both"/>
        <w:rPr>
          <w:rFonts w:ascii="Arial" w:eastAsia="Calibri" w:hAnsi="Arial" w:cs="Arial"/>
          <w:sz w:val="24"/>
          <w:szCs w:val="24"/>
        </w:rPr>
      </w:pPr>
      <w:r>
        <w:rPr>
          <w:rFonts w:ascii="Arial" w:eastAsia="Calibri" w:hAnsi="Arial" w:cs="Arial"/>
          <w:b/>
          <w:sz w:val="24"/>
          <w:szCs w:val="24"/>
        </w:rPr>
        <w:t>5.6.</w:t>
      </w:r>
      <w:r>
        <w:rPr>
          <w:rFonts w:ascii="Arial" w:eastAsia="Calibri" w:hAnsi="Arial" w:cs="Arial"/>
          <w:sz w:val="24"/>
          <w:szCs w:val="24"/>
        </w:rPr>
        <w:t xml:space="preserve"> Os equipamentos e materiais serão recebidos</w:t>
      </w:r>
      <w:r>
        <w:rPr>
          <w:rFonts w:ascii="Arial" w:hAnsi="Arial" w:cs="Arial"/>
          <w:sz w:val="24"/>
          <w:szCs w:val="24"/>
        </w:rPr>
        <w:t xml:space="preserve"> definitivamente no prazo de </w:t>
      </w:r>
      <w:r>
        <w:rPr>
          <w:rFonts w:ascii="Arial" w:eastAsia="Calibri" w:hAnsi="Arial" w:cs="Arial"/>
          <w:sz w:val="24"/>
          <w:szCs w:val="24"/>
        </w:rPr>
        <w:t>5 (</w:t>
      </w:r>
      <w:r>
        <w:rPr>
          <w:rFonts w:ascii="Arial" w:hAnsi="Arial" w:cs="Arial"/>
          <w:sz w:val="24"/>
          <w:szCs w:val="24"/>
        </w:rPr>
        <w:t>cinco</w:t>
      </w:r>
      <w:r>
        <w:rPr>
          <w:rFonts w:ascii="Arial" w:eastAsia="Calibri" w:hAnsi="Arial" w:cs="Arial"/>
          <w:sz w:val="24"/>
          <w:szCs w:val="24"/>
        </w:rPr>
        <w:t>) dias corridos, contados do recebimento provisório, após a verificação da qualidade e quantidade do material e consequente aceitação mediante termo circunstanciado;</w:t>
      </w:r>
    </w:p>
    <w:p w:rsidR="00931CAA" w:rsidRDefault="0082231B">
      <w:pPr>
        <w:tabs>
          <w:tab w:val="left" w:pos="142"/>
          <w:tab w:val="left" w:pos="426"/>
        </w:tabs>
        <w:spacing w:before="120" w:after="120" w:line="276" w:lineRule="auto"/>
        <w:ind w:right="-143"/>
        <w:jc w:val="both"/>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.7.</w:t>
      </w:r>
      <w:r>
        <w:rPr>
          <w:rFonts w:ascii="Arial" w:eastAsia="Calibri" w:hAnsi="Arial" w:cs="Arial"/>
          <w:sz w:val="24"/>
          <w:szCs w:val="24"/>
        </w:rPr>
        <w:t xml:space="preserve"> O recebimento definitivo do objeto não exclui a responsabilidade da contratada pelos prejuízos resultantes da incorreta execução, sobretudo daqueles prejuízos advindos de defeitos do produto, ocultos ou não aparentes na época da entrega;</w:t>
      </w:r>
    </w:p>
    <w:p w:rsidR="00931CAA" w:rsidRDefault="0082231B">
      <w:pPr>
        <w:tabs>
          <w:tab w:val="left" w:pos="142"/>
          <w:tab w:val="left" w:pos="426"/>
        </w:tabs>
        <w:spacing w:after="0" w:line="276" w:lineRule="auto"/>
        <w:ind w:right="-143"/>
        <w:jc w:val="both"/>
        <w:rPr>
          <w:rFonts w:ascii="Arial" w:eastAsia="Calibri" w:hAnsi="Arial" w:cs="Arial"/>
          <w:sz w:val="24"/>
          <w:szCs w:val="24"/>
        </w:rPr>
      </w:pPr>
      <w:r>
        <w:rPr>
          <w:rFonts w:ascii="Arial" w:hAnsi="Arial" w:cs="Arial"/>
          <w:b/>
          <w:sz w:val="24"/>
          <w:szCs w:val="24"/>
        </w:rPr>
        <w:t>5</w:t>
      </w:r>
      <w:r>
        <w:rPr>
          <w:rFonts w:ascii="Arial" w:eastAsia="Calibri" w:hAnsi="Arial" w:cs="Arial"/>
          <w:b/>
          <w:sz w:val="24"/>
          <w:szCs w:val="24"/>
        </w:rPr>
        <w:t xml:space="preserve">.8. </w:t>
      </w:r>
      <w:r>
        <w:rPr>
          <w:rFonts w:ascii="Arial" w:eastAsia="Calibri" w:hAnsi="Arial" w:cs="Arial"/>
          <w:sz w:val="24"/>
          <w:szCs w:val="24"/>
        </w:rPr>
        <w:t>A nota fiscal apresentada pela empresa no momento da entrega, além das especificações e quantitativo de itens, deverá mencionar o número do processo, da Ata de Registro ou Contrato Administrativo.</w:t>
      </w:r>
    </w:p>
    <w:p w:rsidR="00931CAA" w:rsidRDefault="0082231B">
      <w:pPr>
        <w:spacing w:before="240" w:after="0" w:line="276" w:lineRule="auto"/>
        <w:jc w:val="both"/>
        <w:rPr>
          <w:rFonts w:ascii="Arial" w:hAnsi="Arial" w:cs="Arial"/>
          <w:b/>
          <w:bCs/>
        </w:rPr>
      </w:pPr>
      <w:r>
        <w:rPr>
          <w:rFonts w:ascii="Arial" w:hAnsi="Arial" w:cs="Arial"/>
          <w:b/>
          <w:bCs/>
        </w:rPr>
        <w:t>6. DA HABILITAÇÃO</w:t>
      </w:r>
    </w:p>
    <w:p w:rsidR="00931CAA" w:rsidRDefault="0082231B">
      <w:pPr>
        <w:spacing w:before="120" w:after="0" w:line="276" w:lineRule="auto"/>
        <w:jc w:val="both"/>
        <w:rPr>
          <w:rFonts w:ascii="Arial" w:eastAsia="Times New Roman" w:hAnsi="Arial" w:cs="Arial"/>
          <w:bCs/>
          <w:sz w:val="24"/>
          <w:szCs w:val="24"/>
          <w:lang w:eastAsia="pt-BR"/>
        </w:rPr>
      </w:pPr>
      <w:r>
        <w:rPr>
          <w:rFonts w:ascii="Arial" w:eastAsia="Times New Roman" w:hAnsi="Arial" w:cs="Arial"/>
          <w:b/>
          <w:bCs/>
          <w:sz w:val="24"/>
          <w:szCs w:val="24"/>
          <w:lang w:eastAsia="pt-BR"/>
        </w:rPr>
        <w:t>6.1.</w:t>
      </w:r>
      <w:r>
        <w:rPr>
          <w:rFonts w:ascii="Arial" w:eastAsia="Times New Roman" w:hAnsi="Arial" w:cs="Arial"/>
          <w:bCs/>
          <w:sz w:val="24"/>
          <w:szCs w:val="24"/>
          <w:lang w:eastAsia="pt-BR"/>
        </w:rPr>
        <w:t xml:space="preserve"> Com o intuito de garantir a seleção de fornecedores aptos a efetivamente atender a demanda da Secretaria Municipal de Saúde (Fundo Municipal de Saúde), além dos requisitos de habilitação jurídica e econômico-financeira usuais, deverão ser exigidos dos licitantes os seguintes documentos referentes à comprovação de sua qualificação técnica:</w:t>
      </w:r>
    </w:p>
    <w:p w:rsidR="00931CAA" w:rsidRDefault="0082231B">
      <w:pPr>
        <w:pStyle w:val="Normal1"/>
        <w:tabs>
          <w:tab w:val="center" w:pos="4320"/>
          <w:tab w:val="right" w:pos="8640"/>
        </w:tabs>
        <w:spacing w:before="120" w:after="0" w:line="276" w:lineRule="auto"/>
        <w:ind w:left="426"/>
        <w:jc w:val="both"/>
        <w:rPr>
          <w:rFonts w:ascii="Arial" w:eastAsia="Arial" w:hAnsi="Arial" w:cs="Arial"/>
          <w:sz w:val="24"/>
          <w:szCs w:val="24"/>
        </w:rPr>
      </w:pPr>
      <w:r>
        <w:rPr>
          <w:rFonts w:ascii="Arial" w:eastAsia="Times New Roman" w:hAnsi="Arial" w:cs="Arial"/>
          <w:b/>
          <w:bCs/>
          <w:sz w:val="24"/>
          <w:szCs w:val="24"/>
        </w:rPr>
        <w:t>6.1.1.</w:t>
      </w:r>
      <w:r>
        <w:rPr>
          <w:rFonts w:ascii="Arial" w:eastAsia="Times New Roman" w:hAnsi="Arial" w:cs="Arial"/>
          <w:bCs/>
          <w:sz w:val="24"/>
          <w:szCs w:val="24"/>
        </w:rPr>
        <w:t xml:space="preserve"> C</w:t>
      </w:r>
      <w:r>
        <w:rPr>
          <w:rFonts w:ascii="Arial" w:eastAsia="Cambria" w:hAnsi="Arial" w:cs="Arial"/>
          <w:sz w:val="24"/>
          <w:szCs w:val="24"/>
        </w:rPr>
        <w:t xml:space="preserve">omprovação de aptidão para o fornecimento de bens em características, quantidades e prazos compatíveis com o objeto a ser adquirido (indicado em sua proposta), que se dará por meio da apresentação de atestados fornecidos por pessoas jurídicas de direito público ou privado, que demonstrem que o licitante já forneceu bens similares aos descritos neste termo. </w:t>
      </w:r>
    </w:p>
    <w:p w:rsidR="00931CAA" w:rsidRDefault="0082231B">
      <w:pPr>
        <w:pStyle w:val="Normal1"/>
        <w:tabs>
          <w:tab w:val="center" w:pos="4320"/>
          <w:tab w:val="right" w:pos="8640"/>
        </w:tabs>
        <w:spacing w:before="120" w:after="0" w:line="276" w:lineRule="auto"/>
        <w:ind w:left="426"/>
        <w:jc w:val="both"/>
        <w:rPr>
          <w:rFonts w:ascii="Arial" w:eastAsia="Cambria" w:hAnsi="Arial" w:cs="Arial"/>
          <w:sz w:val="24"/>
          <w:szCs w:val="24"/>
        </w:rPr>
      </w:pPr>
      <w:r>
        <w:rPr>
          <w:rFonts w:ascii="Arial" w:eastAsia="Cambria" w:hAnsi="Arial" w:cs="Arial"/>
          <w:b/>
          <w:sz w:val="24"/>
          <w:szCs w:val="24"/>
        </w:rPr>
        <w:t>6.1.2</w:t>
      </w:r>
      <w:r>
        <w:rPr>
          <w:rFonts w:ascii="Arial" w:eastAsia="Cambria" w:hAnsi="Arial" w:cs="Arial"/>
          <w:sz w:val="24"/>
          <w:szCs w:val="24"/>
        </w:rPr>
        <w:t>. 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931CAA" w:rsidRDefault="0082231B">
      <w:pPr>
        <w:pStyle w:val="Normal1"/>
        <w:tabs>
          <w:tab w:val="center" w:pos="4320"/>
          <w:tab w:val="right" w:pos="8640"/>
        </w:tabs>
        <w:spacing w:before="120" w:after="0" w:line="276" w:lineRule="auto"/>
        <w:ind w:left="426"/>
        <w:jc w:val="both"/>
        <w:rPr>
          <w:rFonts w:ascii="Arial" w:eastAsia="Cambria" w:hAnsi="Arial" w:cs="Arial"/>
          <w:sz w:val="24"/>
          <w:szCs w:val="24"/>
        </w:rPr>
      </w:pPr>
      <w:r>
        <w:rPr>
          <w:rFonts w:ascii="Arial" w:eastAsia="Cambria" w:hAnsi="Arial" w:cs="Arial"/>
          <w:b/>
          <w:sz w:val="24"/>
          <w:szCs w:val="24"/>
        </w:rPr>
        <w:t xml:space="preserve">6.1.3. </w:t>
      </w:r>
      <w:r>
        <w:rPr>
          <w:rFonts w:ascii="Arial" w:eastAsia="Cambria" w:hAnsi="Arial" w:cs="Arial"/>
          <w:sz w:val="24"/>
          <w:szCs w:val="24"/>
        </w:rPr>
        <w:t>Os atestados emitidos por pessoa jurídica de direito privado deverão estar acompanhados de documentos que comprovem a aptidão do signatário para responder pela pessoa jurídica atestante.</w:t>
      </w:r>
    </w:p>
    <w:p w:rsidR="00931CAA" w:rsidRDefault="0082231B">
      <w:pPr>
        <w:pStyle w:val="Normal1"/>
        <w:tabs>
          <w:tab w:val="center" w:pos="4320"/>
          <w:tab w:val="right" w:pos="8640"/>
        </w:tabs>
        <w:spacing w:before="120" w:after="0" w:line="276" w:lineRule="auto"/>
        <w:jc w:val="both"/>
        <w:rPr>
          <w:rFonts w:ascii="Arial" w:eastAsia="Arial" w:hAnsi="Arial" w:cs="Arial"/>
          <w:sz w:val="24"/>
          <w:szCs w:val="24"/>
        </w:rPr>
      </w:pPr>
      <w:r>
        <w:rPr>
          <w:rFonts w:ascii="Arial" w:eastAsia="Cambria" w:hAnsi="Arial" w:cs="Arial"/>
          <w:b/>
          <w:sz w:val="24"/>
          <w:szCs w:val="24"/>
        </w:rPr>
        <w:t xml:space="preserve">6.2. </w:t>
      </w:r>
      <w:r>
        <w:rPr>
          <w:rFonts w:ascii="Arial" w:eastAsia="Cambria" w:hAnsi="Arial" w:cs="Arial"/>
          <w:sz w:val="24"/>
          <w:szCs w:val="24"/>
        </w:rPr>
        <w:t>Os licitantes deverão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rsidR="00931CAA" w:rsidRDefault="0082231B">
      <w:pPr>
        <w:spacing w:before="240" w:after="0" w:line="276" w:lineRule="auto"/>
        <w:jc w:val="both"/>
        <w:rPr>
          <w:rFonts w:ascii="Arial" w:hAnsi="Arial" w:cs="Arial"/>
          <w:b/>
          <w:bCs/>
          <w:sz w:val="24"/>
          <w:szCs w:val="24"/>
        </w:rPr>
      </w:pPr>
      <w:r>
        <w:rPr>
          <w:rFonts w:ascii="Arial" w:hAnsi="Arial" w:cs="Arial"/>
          <w:b/>
          <w:bCs/>
          <w:sz w:val="24"/>
          <w:szCs w:val="24"/>
        </w:rPr>
        <w:t>7. DAS OBRIGAÇÕES DA CONTRATANTE</w:t>
      </w:r>
    </w:p>
    <w:p w:rsidR="00931CAA" w:rsidRDefault="0082231B">
      <w:pPr>
        <w:spacing w:before="120" w:after="0" w:line="360" w:lineRule="auto"/>
        <w:jc w:val="both"/>
        <w:rPr>
          <w:rFonts w:ascii="Arial" w:hAnsi="Arial" w:cs="Arial"/>
          <w:sz w:val="24"/>
          <w:szCs w:val="24"/>
        </w:rPr>
      </w:pPr>
      <w:r>
        <w:rPr>
          <w:rFonts w:ascii="Arial" w:hAnsi="Arial" w:cs="Arial"/>
          <w:b/>
          <w:sz w:val="24"/>
          <w:szCs w:val="24"/>
        </w:rPr>
        <w:t>7.1.</w:t>
      </w:r>
      <w:r>
        <w:rPr>
          <w:rFonts w:ascii="Arial" w:hAnsi="Arial" w:cs="Arial"/>
          <w:sz w:val="24"/>
          <w:szCs w:val="24"/>
        </w:rPr>
        <w:t xml:space="preserve"> São obrigações da </w:t>
      </w:r>
      <w:r>
        <w:rPr>
          <w:rFonts w:ascii="Arial" w:hAnsi="Arial" w:cs="Arial"/>
          <w:bCs/>
          <w:sz w:val="24"/>
          <w:szCs w:val="24"/>
        </w:rPr>
        <w:t>contratante</w:t>
      </w:r>
      <w:r>
        <w:rPr>
          <w:rFonts w:ascii="Arial" w:hAnsi="Arial" w:cs="Arial"/>
          <w:sz w:val="24"/>
          <w:szCs w:val="24"/>
        </w:rPr>
        <w:t>:</w:t>
      </w:r>
    </w:p>
    <w:p w:rsidR="00931CAA" w:rsidRDefault="0082231B">
      <w:pPr>
        <w:spacing w:before="120" w:after="0" w:line="276" w:lineRule="auto"/>
        <w:ind w:left="426"/>
        <w:jc w:val="both"/>
        <w:rPr>
          <w:rFonts w:ascii="Arial" w:hAnsi="Arial" w:cs="Arial"/>
          <w:sz w:val="24"/>
          <w:szCs w:val="24"/>
        </w:rPr>
      </w:pPr>
      <w:r>
        <w:rPr>
          <w:rFonts w:ascii="Arial" w:hAnsi="Arial" w:cs="Arial"/>
          <w:b/>
          <w:sz w:val="24"/>
          <w:szCs w:val="24"/>
        </w:rPr>
        <w:t>7.1.1.</w:t>
      </w:r>
      <w:r>
        <w:rPr>
          <w:rFonts w:ascii="Arial" w:hAnsi="Arial" w:cs="Arial"/>
          <w:sz w:val="24"/>
          <w:szCs w:val="24"/>
        </w:rPr>
        <w:t xml:space="preserve"> Receber o objeto no prazo e condições estabelecidas neste Termo de Referência e seus anexos.</w:t>
      </w:r>
    </w:p>
    <w:p w:rsidR="00931CAA" w:rsidRDefault="0082231B">
      <w:pPr>
        <w:spacing w:before="120" w:after="0" w:line="276" w:lineRule="auto"/>
        <w:ind w:left="426"/>
        <w:jc w:val="both"/>
        <w:rPr>
          <w:rFonts w:ascii="Arial" w:hAnsi="Arial" w:cs="Arial"/>
          <w:sz w:val="24"/>
          <w:szCs w:val="24"/>
        </w:rPr>
      </w:pPr>
      <w:r>
        <w:rPr>
          <w:rFonts w:ascii="Arial" w:hAnsi="Arial" w:cs="Arial"/>
          <w:b/>
          <w:sz w:val="24"/>
          <w:szCs w:val="24"/>
        </w:rPr>
        <w:t>7.1.2.</w:t>
      </w:r>
      <w:r>
        <w:rPr>
          <w:rFonts w:ascii="Arial" w:hAnsi="Arial" w:cs="Arial"/>
          <w:sz w:val="24"/>
          <w:szCs w:val="24"/>
        </w:rPr>
        <w:t xml:space="preserve"> Verificar minuciosamente, no prazo fixado, a conformidade dos bens recebidos provisoriamente com as especificações constantes neste Termo, na proposta apresentada pelo Fornecedor no momento do certame, para fins de aceitação e recebimento definitivo.</w:t>
      </w:r>
    </w:p>
    <w:p w:rsidR="00931CAA" w:rsidRDefault="0082231B">
      <w:pPr>
        <w:spacing w:before="120" w:after="0" w:line="276" w:lineRule="auto"/>
        <w:ind w:left="426"/>
        <w:jc w:val="both"/>
        <w:rPr>
          <w:rFonts w:ascii="Arial" w:hAnsi="Arial" w:cs="Arial"/>
          <w:sz w:val="24"/>
          <w:szCs w:val="24"/>
        </w:rPr>
      </w:pPr>
      <w:r>
        <w:rPr>
          <w:rFonts w:ascii="Arial" w:hAnsi="Arial" w:cs="Arial"/>
          <w:b/>
          <w:sz w:val="24"/>
          <w:szCs w:val="24"/>
        </w:rPr>
        <w:t>7.1.3.</w:t>
      </w:r>
      <w:r>
        <w:rPr>
          <w:rFonts w:ascii="Arial" w:hAnsi="Arial" w:cs="Arial"/>
          <w:sz w:val="24"/>
          <w:szCs w:val="24"/>
        </w:rPr>
        <w:t xml:space="preserve"> Comunicar a contratada, por escrito, sobre imperfeições, falhas ou irregularidades verificadas nos produtos entregues, para que sejam substituídos, reparados ou corrigidos.</w:t>
      </w:r>
    </w:p>
    <w:p w:rsidR="00931CAA" w:rsidRDefault="0082231B">
      <w:pPr>
        <w:spacing w:before="120" w:after="0" w:line="276" w:lineRule="auto"/>
        <w:ind w:left="426"/>
        <w:jc w:val="both"/>
        <w:rPr>
          <w:rFonts w:ascii="Arial" w:hAnsi="Arial" w:cs="Arial"/>
          <w:sz w:val="24"/>
          <w:szCs w:val="24"/>
        </w:rPr>
      </w:pPr>
      <w:r>
        <w:rPr>
          <w:rFonts w:ascii="Arial" w:hAnsi="Arial" w:cs="Arial"/>
          <w:b/>
          <w:sz w:val="24"/>
          <w:szCs w:val="24"/>
        </w:rPr>
        <w:t>7.1.4.</w:t>
      </w:r>
      <w:r>
        <w:rPr>
          <w:rFonts w:ascii="Arial" w:hAnsi="Arial" w:cs="Arial"/>
          <w:sz w:val="24"/>
          <w:szCs w:val="24"/>
        </w:rPr>
        <w:t xml:space="preserve"> Acompanhar e fiscalizar o cumprimento das obrigações da contratada, por intermédio de comissão/servidor especialmente designado.</w:t>
      </w:r>
    </w:p>
    <w:p w:rsidR="00931CAA" w:rsidRDefault="0082231B">
      <w:pPr>
        <w:spacing w:before="120" w:after="0" w:line="276" w:lineRule="auto"/>
        <w:ind w:left="426"/>
        <w:jc w:val="both"/>
        <w:rPr>
          <w:rFonts w:ascii="Arial" w:hAnsi="Arial" w:cs="Arial"/>
          <w:sz w:val="24"/>
          <w:szCs w:val="24"/>
        </w:rPr>
      </w:pPr>
      <w:r>
        <w:rPr>
          <w:rFonts w:ascii="Arial" w:hAnsi="Arial" w:cs="Arial"/>
          <w:b/>
          <w:sz w:val="24"/>
          <w:szCs w:val="24"/>
        </w:rPr>
        <w:t>7.1.5.</w:t>
      </w:r>
      <w:r>
        <w:rPr>
          <w:rFonts w:ascii="Arial" w:hAnsi="Arial" w:cs="Arial"/>
          <w:sz w:val="24"/>
          <w:szCs w:val="24"/>
        </w:rPr>
        <w:t xml:space="preserve"> Efetuar o pagamento a contratada no valor correspondente aos itens e aos quantitativos efetivamente entregues, no prazo e forma estabelecidos neste Termo de Referência e no Contrato.</w:t>
      </w:r>
    </w:p>
    <w:p w:rsidR="00931CAA" w:rsidRDefault="0082231B">
      <w:pPr>
        <w:spacing w:before="120" w:after="0" w:line="360" w:lineRule="auto"/>
        <w:jc w:val="both"/>
        <w:rPr>
          <w:rFonts w:ascii="Arial" w:hAnsi="Arial" w:cs="Arial"/>
          <w:sz w:val="24"/>
          <w:szCs w:val="24"/>
        </w:rPr>
      </w:pPr>
      <w:r>
        <w:rPr>
          <w:rFonts w:ascii="Arial" w:hAnsi="Arial" w:cs="Arial"/>
          <w:b/>
          <w:sz w:val="24"/>
          <w:szCs w:val="24"/>
        </w:rPr>
        <w:t xml:space="preserve">7. </w:t>
      </w:r>
      <w:r>
        <w:rPr>
          <w:rFonts w:ascii="Arial" w:hAnsi="Arial" w:cs="Arial"/>
          <w:sz w:val="24"/>
          <w:szCs w:val="24"/>
        </w:rPr>
        <w:t>A contratante não responderá por quaisquer compromissos assumidos pela contratada com terceiros, ainda que vinculados à execução do Contrato, bem como por qualquer dano causado a terceiros em decorrência de ato do próprio, de seus empregados, prepostos ou subordinados.</w:t>
      </w:r>
    </w:p>
    <w:p w:rsidR="00931CAA" w:rsidRDefault="0082231B">
      <w:pPr>
        <w:spacing w:before="240" w:after="0" w:line="276" w:lineRule="auto"/>
        <w:jc w:val="both"/>
        <w:rPr>
          <w:rFonts w:ascii="Arial" w:hAnsi="Arial" w:cs="Arial"/>
          <w:b/>
          <w:bCs/>
          <w:sz w:val="24"/>
          <w:szCs w:val="24"/>
        </w:rPr>
      </w:pPr>
      <w:r>
        <w:rPr>
          <w:rFonts w:ascii="Arial" w:hAnsi="Arial" w:cs="Arial"/>
          <w:b/>
          <w:bCs/>
          <w:sz w:val="24"/>
          <w:szCs w:val="24"/>
        </w:rPr>
        <w:t>8. DAS OBRIGAÇÕES DA CONTRATADA</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8.1.</w:t>
      </w:r>
      <w:r>
        <w:rPr>
          <w:rFonts w:ascii="Arial" w:hAnsi="Arial" w:cs="Arial"/>
          <w:sz w:val="24"/>
          <w:szCs w:val="24"/>
        </w:rPr>
        <w:t xml:space="preserve"> A contratada deve cumprir todas as obrigações constantes neste Termo de Referência, no Termo de Contrato e em sua proposta, assumindo como exclusivamente seus os riscos e as despesas decorrentes da boa e perfeita execução do objeto e, ainda:</w:t>
      </w:r>
    </w:p>
    <w:p w:rsidR="00931CAA" w:rsidRDefault="0082231B">
      <w:pPr>
        <w:tabs>
          <w:tab w:val="left" w:pos="426"/>
        </w:tabs>
        <w:spacing w:before="120" w:after="0" w:line="276" w:lineRule="auto"/>
        <w:ind w:left="426"/>
        <w:jc w:val="both"/>
        <w:rPr>
          <w:rFonts w:ascii="Arial" w:hAnsi="Arial" w:cs="Arial"/>
          <w:sz w:val="24"/>
          <w:szCs w:val="24"/>
        </w:rPr>
      </w:pPr>
      <w:r>
        <w:rPr>
          <w:rFonts w:ascii="Arial" w:hAnsi="Arial" w:cs="Arial"/>
          <w:b/>
          <w:sz w:val="24"/>
          <w:szCs w:val="24"/>
        </w:rPr>
        <w:t xml:space="preserve">8.1.1. </w:t>
      </w:r>
      <w:r>
        <w:rPr>
          <w:rFonts w:ascii="Arial" w:hAnsi="Arial" w:cs="Arial"/>
          <w:sz w:val="24"/>
          <w:szCs w:val="24"/>
        </w:rPr>
        <w:t>Efetuar a entrega dos itens em perfeitas condições, conforme especificações, prazo e local constantes neste Termo de Referência, inclusive quanto à garantia, devendo apresentar a nota fiscal, na qual constarão as indicações referentes a: marca, fabricante, procedência, prazo de validade, e número do processo.</w:t>
      </w:r>
    </w:p>
    <w:p w:rsidR="00931CAA" w:rsidRDefault="0082231B">
      <w:pPr>
        <w:tabs>
          <w:tab w:val="left" w:pos="426"/>
        </w:tabs>
        <w:spacing w:before="120" w:after="0" w:line="276" w:lineRule="auto"/>
        <w:ind w:left="426"/>
        <w:jc w:val="both"/>
        <w:rPr>
          <w:rFonts w:ascii="Arial" w:hAnsi="Arial" w:cs="Arial"/>
          <w:sz w:val="24"/>
          <w:szCs w:val="24"/>
        </w:rPr>
      </w:pPr>
      <w:r>
        <w:rPr>
          <w:rFonts w:ascii="Arial" w:hAnsi="Arial" w:cs="Arial"/>
          <w:b/>
          <w:sz w:val="24"/>
          <w:szCs w:val="24"/>
        </w:rPr>
        <w:t xml:space="preserve">8.1.2. </w:t>
      </w:r>
      <w:r>
        <w:rPr>
          <w:rFonts w:ascii="Arial" w:hAnsi="Arial" w:cs="Arial"/>
          <w:sz w:val="24"/>
          <w:szCs w:val="24"/>
        </w:rPr>
        <w:t>Responsabilizar-se pelos vícios e danos decorrentes do objeto, de acordo com os artigos 13 e 17 a 27, da Lei Federal n.º 8.078, de 11 de setembro de 1990.</w:t>
      </w:r>
    </w:p>
    <w:p w:rsidR="00931CAA" w:rsidRDefault="0082231B">
      <w:pPr>
        <w:tabs>
          <w:tab w:val="left" w:pos="426"/>
        </w:tabs>
        <w:spacing w:before="120" w:after="0" w:line="276" w:lineRule="auto"/>
        <w:ind w:left="426"/>
        <w:jc w:val="both"/>
        <w:rPr>
          <w:rFonts w:ascii="Arial" w:hAnsi="Arial" w:cs="Arial"/>
          <w:sz w:val="24"/>
          <w:szCs w:val="24"/>
        </w:rPr>
      </w:pPr>
      <w:r>
        <w:rPr>
          <w:rFonts w:ascii="Arial" w:hAnsi="Arial" w:cs="Arial"/>
          <w:b/>
          <w:sz w:val="24"/>
          <w:szCs w:val="24"/>
        </w:rPr>
        <w:t>8.1.3.</w:t>
      </w:r>
      <w:r>
        <w:rPr>
          <w:rFonts w:ascii="Arial" w:hAnsi="Arial" w:cs="Arial"/>
          <w:sz w:val="24"/>
          <w:szCs w:val="24"/>
        </w:rPr>
        <w:t xml:space="preserve"> Comunicar ao </w:t>
      </w:r>
      <w:r>
        <w:rPr>
          <w:rFonts w:ascii="Arial" w:hAnsi="Arial" w:cs="Arial"/>
          <w:bCs/>
          <w:sz w:val="24"/>
          <w:szCs w:val="24"/>
        </w:rPr>
        <w:t>contratante</w:t>
      </w:r>
      <w:r>
        <w:rPr>
          <w:rFonts w:ascii="Arial" w:hAnsi="Arial" w:cs="Arial"/>
          <w:sz w:val="24"/>
          <w:szCs w:val="24"/>
        </w:rPr>
        <w:t>, no prazo máximo de 48 (quarenta e oito) horas que antecedem a data da entrega, os motivos que impossibilitem o cumprimento do prazo previsto, com a devida comprovação.</w:t>
      </w:r>
    </w:p>
    <w:p w:rsidR="00931CAA" w:rsidRDefault="0082231B">
      <w:pPr>
        <w:tabs>
          <w:tab w:val="left" w:pos="426"/>
        </w:tabs>
        <w:spacing w:before="120" w:after="0" w:line="276" w:lineRule="auto"/>
        <w:ind w:left="426"/>
        <w:jc w:val="both"/>
        <w:rPr>
          <w:rFonts w:ascii="Arial" w:hAnsi="Arial" w:cs="Arial"/>
          <w:sz w:val="24"/>
          <w:szCs w:val="24"/>
        </w:rPr>
      </w:pPr>
      <w:r>
        <w:rPr>
          <w:rFonts w:ascii="Arial" w:hAnsi="Arial" w:cs="Arial"/>
          <w:b/>
          <w:sz w:val="24"/>
          <w:szCs w:val="24"/>
        </w:rPr>
        <w:t>8.1.4.</w:t>
      </w:r>
      <w:r>
        <w:rPr>
          <w:rFonts w:ascii="Arial" w:hAnsi="Arial" w:cs="Arial"/>
          <w:sz w:val="24"/>
          <w:szCs w:val="24"/>
        </w:rPr>
        <w:t xml:space="preserve"> Manter, durante toda a execução do contrato, em compatibilidade com as obrigações assumidas, todas as condições de habilitação e qualificação exigidas neste Termo de Referência.</w:t>
      </w:r>
    </w:p>
    <w:p w:rsidR="00931CAA" w:rsidRDefault="0082231B">
      <w:pPr>
        <w:spacing w:before="240" w:after="0" w:line="276" w:lineRule="auto"/>
        <w:jc w:val="both"/>
        <w:rPr>
          <w:rFonts w:ascii="Arial" w:hAnsi="Arial" w:cs="Arial"/>
          <w:b/>
          <w:bCs/>
          <w:sz w:val="24"/>
          <w:szCs w:val="24"/>
        </w:rPr>
      </w:pPr>
      <w:r>
        <w:rPr>
          <w:rFonts w:ascii="Arial" w:hAnsi="Arial" w:cs="Arial"/>
          <w:b/>
          <w:bCs/>
          <w:sz w:val="24"/>
          <w:szCs w:val="24"/>
        </w:rPr>
        <w:t>9. DA ALTERAÇÃO SUBJETIVA</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9.1.</w:t>
      </w:r>
      <w:r>
        <w:rPr>
          <w:rFonts w:ascii="Arial" w:hAnsi="Arial" w:cs="Arial"/>
          <w:sz w:val="24"/>
          <w:szCs w:val="24"/>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31CAA" w:rsidRDefault="0082231B">
      <w:pPr>
        <w:spacing w:before="240" w:after="0" w:line="276" w:lineRule="auto"/>
        <w:jc w:val="both"/>
        <w:rPr>
          <w:rFonts w:ascii="Arial" w:hAnsi="Arial" w:cs="Arial"/>
          <w:b/>
          <w:bCs/>
          <w:sz w:val="24"/>
          <w:szCs w:val="24"/>
        </w:rPr>
      </w:pPr>
      <w:r>
        <w:rPr>
          <w:rFonts w:ascii="Arial" w:hAnsi="Arial" w:cs="Arial"/>
          <w:b/>
          <w:bCs/>
          <w:sz w:val="24"/>
          <w:szCs w:val="24"/>
        </w:rPr>
        <w:t>10. DO CONTROLE E FISCALIZAÇÃO DA EXECUÇÃO:</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10.1.</w:t>
      </w:r>
      <w:r>
        <w:rPr>
          <w:rFonts w:ascii="Arial" w:hAnsi="Arial" w:cs="Arial"/>
          <w:sz w:val="24"/>
          <w:szCs w:val="24"/>
        </w:rPr>
        <w:t xml:space="preserve"> Nos termos do artigo 67 da Lei Federal n.º 8.666, de 21 de janeiro de 1993, serão designados a Comissão de Fiscalização do Contrato e/ou um servidor para acompanhar e fiscalizar a entrega </w:t>
      </w:r>
      <w:proofErr w:type="spellStart"/>
      <w:r>
        <w:rPr>
          <w:rFonts w:ascii="Arial" w:hAnsi="Arial" w:cs="Arial"/>
          <w:sz w:val="24"/>
          <w:szCs w:val="24"/>
        </w:rPr>
        <w:t>dositens</w:t>
      </w:r>
      <w:proofErr w:type="spellEnd"/>
      <w:r>
        <w:rPr>
          <w:rFonts w:ascii="Arial" w:hAnsi="Arial" w:cs="Arial"/>
          <w:sz w:val="24"/>
          <w:szCs w:val="24"/>
        </w:rPr>
        <w:t>, anotando em registro próprio todas as ocorrências relacionadas com a execução e determinando o que for necessário à regularização de falhas ou defeitos observados.</w:t>
      </w:r>
    </w:p>
    <w:p w:rsidR="00931CAA" w:rsidRDefault="0082231B">
      <w:pPr>
        <w:pStyle w:val="PargrafodaLista"/>
        <w:tabs>
          <w:tab w:val="left" w:pos="142"/>
        </w:tabs>
        <w:spacing w:before="120" w:after="0" w:line="276" w:lineRule="auto"/>
        <w:ind w:left="0" w:right="-1"/>
        <w:jc w:val="both"/>
        <w:rPr>
          <w:rFonts w:ascii="Arial" w:hAnsi="Arial" w:cs="Arial"/>
          <w:sz w:val="24"/>
          <w:szCs w:val="24"/>
        </w:rPr>
      </w:pPr>
      <w:r>
        <w:rPr>
          <w:rFonts w:ascii="Arial" w:hAnsi="Arial" w:cs="Arial"/>
          <w:b/>
          <w:sz w:val="24"/>
          <w:szCs w:val="24"/>
        </w:rPr>
        <w:t>10.2.</w:t>
      </w:r>
      <w:r>
        <w:rPr>
          <w:rFonts w:ascii="Arial" w:hAnsi="Arial" w:cs="Arial"/>
          <w:sz w:val="24"/>
          <w:szCs w:val="24"/>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31CAA" w:rsidRDefault="0082231B">
      <w:pPr>
        <w:spacing w:before="240" w:after="0" w:line="276" w:lineRule="auto"/>
        <w:jc w:val="both"/>
        <w:rPr>
          <w:rFonts w:ascii="Arial" w:hAnsi="Arial" w:cs="Arial"/>
          <w:sz w:val="24"/>
          <w:szCs w:val="24"/>
        </w:rPr>
      </w:pPr>
      <w:r>
        <w:rPr>
          <w:rFonts w:ascii="Arial" w:hAnsi="Arial" w:cs="Arial"/>
          <w:b/>
          <w:bCs/>
          <w:sz w:val="24"/>
          <w:szCs w:val="24"/>
        </w:rPr>
        <w:t>11. DO PAGAMENTO:</w:t>
      </w:r>
    </w:p>
    <w:p w:rsidR="00931CAA" w:rsidRDefault="0082231B">
      <w:pPr>
        <w:pStyle w:val="PargrafodaLista"/>
        <w:widowControl w:val="0"/>
        <w:tabs>
          <w:tab w:val="left" w:pos="-567"/>
          <w:tab w:val="left" w:pos="426"/>
        </w:tabs>
        <w:spacing w:before="120" w:after="120" w:line="276" w:lineRule="auto"/>
        <w:ind w:left="0" w:right="-1"/>
        <w:jc w:val="both"/>
        <w:rPr>
          <w:rFonts w:ascii="Arial" w:hAnsi="Arial" w:cs="Arial"/>
          <w:sz w:val="24"/>
          <w:szCs w:val="24"/>
        </w:rPr>
      </w:pPr>
      <w:r>
        <w:rPr>
          <w:rFonts w:ascii="Arial" w:hAnsi="Arial" w:cs="Arial"/>
          <w:b/>
          <w:sz w:val="24"/>
          <w:szCs w:val="24"/>
        </w:rPr>
        <w:t>11.1.</w:t>
      </w:r>
      <w:r>
        <w:rPr>
          <w:rFonts w:ascii="Arial" w:hAnsi="Arial" w:cs="Arial"/>
          <w:sz w:val="24"/>
          <w:szCs w:val="24"/>
        </w:rPr>
        <w:t xml:space="preserve"> O pagamento será realizado no prazo máximo de 30 (trinta) dias corridos,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da contratada.</w:t>
      </w:r>
    </w:p>
    <w:p w:rsidR="00931CAA" w:rsidRDefault="0082231B">
      <w:pPr>
        <w:widowControl w:val="0"/>
        <w:tabs>
          <w:tab w:val="left" w:pos="-567"/>
          <w:tab w:val="left" w:pos="142"/>
        </w:tabs>
        <w:spacing w:before="120" w:after="120" w:line="276" w:lineRule="auto"/>
        <w:ind w:right="-1"/>
        <w:jc w:val="both"/>
        <w:rPr>
          <w:rFonts w:ascii="Arial" w:hAnsi="Arial" w:cs="Arial"/>
          <w:b/>
          <w:sz w:val="24"/>
          <w:szCs w:val="24"/>
        </w:rPr>
      </w:pPr>
      <w:r>
        <w:rPr>
          <w:rFonts w:ascii="Arial" w:hAnsi="Arial" w:cs="Arial"/>
          <w:b/>
          <w:sz w:val="24"/>
          <w:szCs w:val="24"/>
        </w:rPr>
        <w:t>11.2.</w:t>
      </w:r>
      <w:r>
        <w:rPr>
          <w:rFonts w:ascii="Arial" w:hAnsi="Arial" w:cs="Arial"/>
          <w:sz w:val="24"/>
          <w:szCs w:val="24"/>
        </w:rPr>
        <w:t xml:space="preserve"> Considera-se ocorrido o recebimento da nota fiscal ou fatura no momento em que a fiscalização manifestar seu atesto</w:t>
      </w:r>
      <w:r>
        <w:rPr>
          <w:rFonts w:ascii="Arial" w:hAnsi="Arial" w:cs="Arial"/>
          <w:b/>
          <w:sz w:val="24"/>
          <w:szCs w:val="24"/>
        </w:rPr>
        <w:t>.</w:t>
      </w:r>
    </w:p>
    <w:p w:rsidR="00931CAA" w:rsidRDefault="0082231B">
      <w:pPr>
        <w:widowControl w:val="0"/>
        <w:tabs>
          <w:tab w:val="left" w:pos="-567"/>
          <w:tab w:val="left" w:pos="426"/>
        </w:tabs>
        <w:spacing w:before="120" w:after="120" w:line="276" w:lineRule="auto"/>
        <w:ind w:right="-1"/>
        <w:jc w:val="both"/>
        <w:rPr>
          <w:rFonts w:ascii="Arial" w:hAnsi="Arial" w:cs="Arial"/>
          <w:sz w:val="24"/>
          <w:szCs w:val="24"/>
        </w:rPr>
      </w:pPr>
      <w:r>
        <w:rPr>
          <w:rFonts w:ascii="Arial" w:hAnsi="Arial" w:cs="Arial"/>
          <w:b/>
          <w:sz w:val="24"/>
          <w:szCs w:val="24"/>
        </w:rPr>
        <w:t>11.3</w:t>
      </w:r>
      <w:r>
        <w:rPr>
          <w:rFonts w:ascii="Arial" w:hAnsi="Arial" w:cs="Arial"/>
          <w:sz w:val="24"/>
          <w:szCs w:val="24"/>
        </w:rPr>
        <w:t xml:space="preserve">. A nota fiscal ou fatura deverá ser emitida em favor do Fundo Municipal de Saúde – CNPJ Nº </w:t>
      </w:r>
      <w:r>
        <w:rPr>
          <w:rFonts w:ascii="Arial" w:hAnsi="Arial" w:cs="Arial"/>
          <w:bCs/>
          <w:sz w:val="24"/>
          <w:szCs w:val="24"/>
          <w:shd w:val="clear" w:color="auto" w:fill="FFFFFF"/>
        </w:rPr>
        <w:t>11.865.033/0001-10.</w:t>
      </w:r>
    </w:p>
    <w:p w:rsidR="00931CAA" w:rsidRDefault="0082231B">
      <w:pPr>
        <w:widowControl w:val="0"/>
        <w:tabs>
          <w:tab w:val="left" w:pos="-567"/>
          <w:tab w:val="left" w:pos="0"/>
        </w:tabs>
        <w:spacing w:before="120" w:after="120" w:line="276" w:lineRule="auto"/>
        <w:ind w:right="-1"/>
        <w:jc w:val="both"/>
        <w:rPr>
          <w:rFonts w:ascii="Arial" w:hAnsi="Arial" w:cs="Arial"/>
          <w:b/>
          <w:sz w:val="24"/>
          <w:szCs w:val="24"/>
        </w:rPr>
      </w:pPr>
      <w:r>
        <w:rPr>
          <w:rFonts w:ascii="Arial" w:hAnsi="Arial" w:cs="Arial"/>
          <w:b/>
          <w:sz w:val="24"/>
          <w:szCs w:val="24"/>
        </w:rPr>
        <w:t>11.4.</w:t>
      </w:r>
      <w:r>
        <w:rPr>
          <w:rFonts w:ascii="Arial" w:hAnsi="Arial" w:cs="Arial"/>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Contratado/Fornecedor Registrado providencie as medidas saneadoras. Nesta hipótese, o prazo </w:t>
      </w:r>
      <w:proofErr w:type="spellStart"/>
      <w:r>
        <w:rPr>
          <w:rFonts w:ascii="Arial" w:hAnsi="Arial" w:cs="Arial"/>
          <w:sz w:val="24"/>
          <w:szCs w:val="24"/>
        </w:rPr>
        <w:t>parapagamento</w:t>
      </w:r>
      <w:proofErr w:type="spellEnd"/>
      <w:r>
        <w:rPr>
          <w:rFonts w:ascii="Arial" w:hAnsi="Arial" w:cs="Arial"/>
          <w:sz w:val="24"/>
          <w:szCs w:val="24"/>
        </w:rPr>
        <w:t xml:space="preserve"> iniciar-se-á após a comprovação da regularização da situação, não acarretando qualquer ônus para a contratante.</w:t>
      </w:r>
    </w:p>
    <w:p w:rsidR="00931CAA" w:rsidRDefault="0082231B">
      <w:pPr>
        <w:widowControl w:val="0"/>
        <w:tabs>
          <w:tab w:val="left" w:pos="-567"/>
          <w:tab w:val="left" w:pos="0"/>
        </w:tabs>
        <w:spacing w:before="120" w:after="120" w:line="276" w:lineRule="auto"/>
        <w:ind w:right="-1"/>
        <w:jc w:val="both"/>
        <w:rPr>
          <w:rFonts w:ascii="Arial" w:hAnsi="Arial" w:cs="Arial"/>
          <w:sz w:val="24"/>
          <w:szCs w:val="24"/>
        </w:rPr>
      </w:pPr>
      <w:r>
        <w:rPr>
          <w:rFonts w:ascii="Arial" w:hAnsi="Arial" w:cs="Arial"/>
          <w:b/>
          <w:sz w:val="24"/>
          <w:szCs w:val="24"/>
        </w:rPr>
        <w:t>11.5.</w:t>
      </w:r>
      <w:r>
        <w:rPr>
          <w:rFonts w:ascii="Arial" w:hAnsi="Arial" w:cs="Arial"/>
          <w:sz w:val="24"/>
          <w:szCs w:val="24"/>
        </w:rPr>
        <w:t xml:space="preserve"> Será considerada data do pagamento o dia em que constar como emitida a ordem bancária em favor da Contratada.</w:t>
      </w:r>
    </w:p>
    <w:p w:rsidR="00931CAA" w:rsidRDefault="0082231B">
      <w:pPr>
        <w:widowControl w:val="0"/>
        <w:tabs>
          <w:tab w:val="left" w:pos="-567"/>
          <w:tab w:val="left" w:pos="426"/>
        </w:tabs>
        <w:spacing w:before="120" w:after="120" w:line="276" w:lineRule="auto"/>
        <w:ind w:right="-2"/>
        <w:jc w:val="both"/>
        <w:rPr>
          <w:rFonts w:ascii="Arial" w:hAnsi="Arial" w:cs="Arial"/>
          <w:sz w:val="24"/>
          <w:szCs w:val="24"/>
        </w:rPr>
      </w:pPr>
      <w:r>
        <w:rPr>
          <w:rFonts w:ascii="Arial" w:hAnsi="Arial" w:cs="Arial"/>
          <w:b/>
          <w:sz w:val="24"/>
          <w:szCs w:val="24"/>
        </w:rPr>
        <w:t>11.6.</w:t>
      </w:r>
      <w:r>
        <w:rPr>
          <w:rFonts w:ascii="Arial" w:hAnsi="Arial" w:cs="Arial"/>
          <w:sz w:val="24"/>
          <w:szCs w:val="24"/>
        </w:rPr>
        <w:t xml:space="preserve"> Quando do pagamento, será efetuada a retenção tributária prevista na legislação aplicável.</w:t>
      </w:r>
    </w:p>
    <w:p w:rsidR="00931CAA" w:rsidRDefault="0082231B">
      <w:pPr>
        <w:widowControl w:val="0"/>
        <w:tabs>
          <w:tab w:val="left" w:pos="-567"/>
          <w:tab w:val="left" w:pos="426"/>
        </w:tabs>
        <w:spacing w:before="120" w:after="120" w:line="276" w:lineRule="auto"/>
        <w:ind w:right="-1"/>
        <w:jc w:val="both"/>
        <w:rPr>
          <w:rFonts w:ascii="Arial" w:hAnsi="Arial" w:cs="Arial"/>
          <w:sz w:val="24"/>
          <w:szCs w:val="24"/>
        </w:rPr>
      </w:pPr>
      <w:r>
        <w:rPr>
          <w:rFonts w:ascii="Arial" w:hAnsi="Arial" w:cs="Arial"/>
          <w:b/>
          <w:sz w:val="24"/>
          <w:szCs w:val="24"/>
        </w:rPr>
        <w:t>11.7.</w:t>
      </w:r>
      <w:r>
        <w:rPr>
          <w:rFonts w:ascii="Arial" w:hAnsi="Arial" w:cs="Arial"/>
          <w:sz w:val="24"/>
          <w:szCs w:val="24"/>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31CAA" w:rsidRDefault="0082231B">
      <w:pPr>
        <w:widowControl w:val="0"/>
        <w:tabs>
          <w:tab w:val="left" w:pos="-567"/>
          <w:tab w:val="left" w:pos="426"/>
        </w:tabs>
        <w:spacing w:before="120" w:after="120" w:line="276" w:lineRule="auto"/>
        <w:ind w:right="-1"/>
        <w:jc w:val="both"/>
        <w:rPr>
          <w:rFonts w:ascii="Arial" w:hAnsi="Arial" w:cs="Arial"/>
          <w:sz w:val="24"/>
          <w:szCs w:val="24"/>
        </w:rPr>
      </w:pPr>
      <w:r>
        <w:rPr>
          <w:rFonts w:ascii="Arial" w:hAnsi="Arial" w:cs="Arial"/>
          <w:b/>
          <w:sz w:val="24"/>
          <w:szCs w:val="24"/>
        </w:rPr>
        <w:t>11.8.</w:t>
      </w:r>
      <w:r>
        <w:rPr>
          <w:rFonts w:ascii="Arial" w:hAnsi="Arial" w:cs="Arial"/>
          <w:sz w:val="24"/>
          <w:szCs w:val="24"/>
        </w:rPr>
        <w:t xml:space="preserve"> Nos casos de eventuais atrasos de pagamento, desde que a contratada o não tenha concorrido, de alguma forma, para tanto, fica convencionado que a taxa de compensação financeira devida pela Contratante entre a data do vencimento e o efetivo adimplemento da parcela, é calculada mediante a aplicação da seguinte fórmula:</w:t>
      </w:r>
    </w:p>
    <w:p w:rsidR="00931CAA" w:rsidRDefault="0082231B">
      <w:pPr>
        <w:tabs>
          <w:tab w:val="left" w:pos="1701"/>
        </w:tabs>
        <w:spacing w:before="120" w:after="120" w:line="360" w:lineRule="auto"/>
        <w:jc w:val="both"/>
        <w:rPr>
          <w:rFonts w:ascii="Arial" w:hAnsi="Arial" w:cs="Arial"/>
          <w:sz w:val="24"/>
          <w:szCs w:val="24"/>
        </w:rPr>
      </w:pPr>
      <w:r>
        <w:rPr>
          <w:rFonts w:ascii="Arial" w:hAnsi="Arial" w:cs="Arial"/>
          <w:sz w:val="24"/>
          <w:szCs w:val="24"/>
        </w:rPr>
        <w:t>EM = I x N x VP, sendo:</w:t>
      </w:r>
    </w:p>
    <w:p w:rsidR="00931CAA" w:rsidRDefault="0082231B">
      <w:pPr>
        <w:tabs>
          <w:tab w:val="left" w:pos="1701"/>
        </w:tabs>
        <w:spacing w:before="120" w:after="120" w:line="276" w:lineRule="auto"/>
        <w:jc w:val="both"/>
        <w:rPr>
          <w:rFonts w:ascii="Arial" w:hAnsi="Arial" w:cs="Arial"/>
          <w:sz w:val="24"/>
          <w:szCs w:val="24"/>
        </w:rPr>
      </w:pPr>
      <w:r>
        <w:rPr>
          <w:rFonts w:ascii="Arial" w:hAnsi="Arial" w:cs="Arial"/>
          <w:sz w:val="24"/>
          <w:szCs w:val="24"/>
        </w:rPr>
        <w:t>EM = Encargos moratórios;</w:t>
      </w:r>
    </w:p>
    <w:p w:rsidR="00931CAA" w:rsidRDefault="0082231B">
      <w:pPr>
        <w:tabs>
          <w:tab w:val="left" w:pos="1701"/>
        </w:tabs>
        <w:spacing w:before="120" w:after="120" w:line="276" w:lineRule="auto"/>
        <w:jc w:val="both"/>
        <w:rPr>
          <w:rFonts w:ascii="Arial" w:hAnsi="Arial" w:cs="Arial"/>
          <w:sz w:val="24"/>
          <w:szCs w:val="24"/>
        </w:rPr>
      </w:pPr>
      <w:r>
        <w:rPr>
          <w:rFonts w:ascii="Arial" w:hAnsi="Arial" w:cs="Arial"/>
          <w:sz w:val="24"/>
          <w:szCs w:val="24"/>
        </w:rPr>
        <w:t>N = Número de dias entre a data prevista para o pagamento e a do efetivo pagamento;</w:t>
      </w:r>
    </w:p>
    <w:p w:rsidR="00931CAA" w:rsidRDefault="0082231B">
      <w:pPr>
        <w:tabs>
          <w:tab w:val="left" w:pos="1701"/>
        </w:tabs>
        <w:spacing w:before="120" w:after="120" w:line="276" w:lineRule="auto"/>
        <w:jc w:val="both"/>
        <w:rPr>
          <w:rFonts w:ascii="Arial" w:hAnsi="Arial" w:cs="Arial"/>
          <w:sz w:val="24"/>
          <w:szCs w:val="24"/>
        </w:rPr>
      </w:pPr>
      <w:r>
        <w:rPr>
          <w:rFonts w:ascii="Arial" w:hAnsi="Arial" w:cs="Arial"/>
          <w:sz w:val="24"/>
          <w:szCs w:val="24"/>
        </w:rPr>
        <w:t>VP = Valor da parcela a ser paga.</w:t>
      </w:r>
    </w:p>
    <w:p w:rsidR="00931CAA" w:rsidRDefault="0082231B">
      <w:pPr>
        <w:tabs>
          <w:tab w:val="left" w:pos="1701"/>
        </w:tabs>
        <w:spacing w:before="120" w:after="120" w:line="276" w:lineRule="auto"/>
        <w:jc w:val="both"/>
        <w:rPr>
          <w:rFonts w:ascii="Arial" w:hAnsi="Arial" w:cs="Arial"/>
          <w:sz w:val="24"/>
          <w:szCs w:val="24"/>
        </w:rPr>
      </w:pPr>
      <w:r>
        <w:rPr>
          <w:rFonts w:ascii="Arial" w:hAnsi="Arial" w:cs="Arial"/>
          <w:sz w:val="24"/>
          <w:szCs w:val="24"/>
        </w:rPr>
        <w:t>I = Índice de compensação financeira = 0,00016438, assim apurado:</w:t>
      </w:r>
    </w:p>
    <w:tbl>
      <w:tblPr>
        <w:tblW w:w="8929" w:type="dxa"/>
        <w:tblInd w:w="250" w:type="dxa"/>
        <w:tblLayout w:type="fixed"/>
        <w:tblLook w:val="0000" w:firstRow="0" w:lastRow="0" w:firstColumn="0" w:lastColumn="0" w:noHBand="0" w:noVBand="0"/>
      </w:tblPr>
      <w:tblGrid>
        <w:gridCol w:w="2125"/>
        <w:gridCol w:w="567"/>
        <w:gridCol w:w="1276"/>
        <w:gridCol w:w="4961"/>
      </w:tblGrid>
      <w:tr w:rsidR="00931CAA">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CAA" w:rsidRDefault="0082231B">
            <w:pPr>
              <w:widowControl w:val="0"/>
              <w:tabs>
                <w:tab w:val="left" w:pos="1701"/>
              </w:tabs>
              <w:spacing w:before="120" w:after="120" w:line="276" w:lineRule="auto"/>
              <w:jc w:val="center"/>
              <w:rPr>
                <w:rFonts w:ascii="Arial" w:hAnsi="Arial" w:cs="Arial"/>
                <w:sz w:val="24"/>
                <w:szCs w:val="24"/>
              </w:rPr>
            </w:pPr>
            <w:r>
              <w:rPr>
                <w:rFonts w:ascii="Arial" w:eastAsia="MS Mincho" w:hAnsi="Arial" w:cs="Arial"/>
                <w:sz w:val="24"/>
                <w:szCs w:val="24"/>
              </w:rPr>
              <w:t>I = (TX)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CAA" w:rsidRDefault="0082231B">
            <w:pPr>
              <w:widowControl w:val="0"/>
              <w:tabs>
                <w:tab w:val="left" w:pos="1701"/>
              </w:tabs>
              <w:spacing w:before="120" w:after="120" w:line="276" w:lineRule="auto"/>
              <w:rPr>
                <w:rFonts w:ascii="Arial" w:hAnsi="Arial" w:cs="Arial"/>
                <w:sz w:val="24"/>
                <w:szCs w:val="24"/>
              </w:rPr>
            </w:pPr>
            <w:r>
              <w:rPr>
                <w:rFonts w:ascii="Arial" w:eastAsia="MS Mincho" w:hAnsi="Arial" w:cs="Arial"/>
                <w:sz w:val="24"/>
                <w:szCs w:val="24"/>
              </w:rPr>
              <w:t>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1CAA" w:rsidRDefault="0082231B">
            <w:pPr>
              <w:widowControl w:val="0"/>
              <w:pBdr>
                <w:bottom w:val="single" w:sz="12" w:space="1" w:color="000000"/>
              </w:pBdr>
              <w:tabs>
                <w:tab w:val="left" w:pos="1701"/>
              </w:tabs>
              <w:spacing w:before="120" w:after="120" w:line="276" w:lineRule="auto"/>
              <w:jc w:val="center"/>
              <w:rPr>
                <w:rFonts w:ascii="Arial" w:eastAsia="MS Mincho" w:hAnsi="Arial" w:cs="Arial"/>
                <w:sz w:val="24"/>
                <w:szCs w:val="24"/>
              </w:rPr>
            </w:pPr>
            <w:r>
              <w:rPr>
                <w:rFonts w:ascii="Arial" w:eastAsia="MS Mincho" w:hAnsi="Arial" w:cs="Arial"/>
                <w:sz w:val="24"/>
                <w:szCs w:val="24"/>
              </w:rPr>
              <w:t>(6 / 100)</w:t>
            </w:r>
          </w:p>
          <w:p w:rsidR="00931CAA" w:rsidRDefault="0082231B">
            <w:pPr>
              <w:widowControl w:val="0"/>
              <w:tabs>
                <w:tab w:val="left" w:pos="1701"/>
              </w:tabs>
              <w:spacing w:before="120" w:after="120" w:line="240" w:lineRule="auto"/>
              <w:jc w:val="center"/>
              <w:rPr>
                <w:rFonts w:ascii="Arial" w:hAnsi="Arial" w:cs="Arial"/>
                <w:sz w:val="24"/>
                <w:szCs w:val="24"/>
              </w:rPr>
            </w:pPr>
            <w:r>
              <w:rPr>
                <w:rFonts w:ascii="Arial" w:eastAsia="MS Mincho" w:hAnsi="Arial" w:cs="Arial"/>
                <w:sz w:val="24"/>
                <w:szCs w:val="24"/>
              </w:rPr>
              <w:t>365</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CAA" w:rsidRDefault="0082231B">
            <w:pPr>
              <w:widowControl w:val="0"/>
              <w:tabs>
                <w:tab w:val="left" w:pos="1701"/>
              </w:tabs>
              <w:spacing w:before="120" w:after="120" w:line="276" w:lineRule="auto"/>
              <w:ind w:left="742"/>
              <w:rPr>
                <w:rFonts w:ascii="Arial" w:hAnsi="Arial" w:cs="Arial"/>
                <w:sz w:val="24"/>
                <w:szCs w:val="24"/>
              </w:rPr>
            </w:pPr>
            <w:r>
              <w:rPr>
                <w:rFonts w:ascii="Arial" w:eastAsia="MS Mincho" w:hAnsi="Arial" w:cs="Arial"/>
                <w:sz w:val="24"/>
                <w:szCs w:val="24"/>
              </w:rPr>
              <w:t>I = 0,00016438</w:t>
            </w:r>
          </w:p>
          <w:p w:rsidR="00931CAA" w:rsidRDefault="0082231B">
            <w:pPr>
              <w:widowControl w:val="0"/>
              <w:tabs>
                <w:tab w:val="left" w:pos="1701"/>
              </w:tabs>
              <w:spacing w:before="120" w:after="120" w:line="276" w:lineRule="auto"/>
              <w:ind w:left="742"/>
              <w:rPr>
                <w:rFonts w:ascii="Arial" w:hAnsi="Arial" w:cs="Arial"/>
                <w:sz w:val="24"/>
                <w:szCs w:val="24"/>
              </w:rPr>
            </w:pPr>
            <w:r>
              <w:rPr>
                <w:rFonts w:ascii="Arial" w:eastAsia="MS Mincho" w:hAnsi="Arial" w:cs="Arial"/>
                <w:sz w:val="24"/>
                <w:szCs w:val="24"/>
              </w:rPr>
              <w:t>TX = Percentual da taxa anual = 6%</w:t>
            </w:r>
          </w:p>
        </w:tc>
      </w:tr>
    </w:tbl>
    <w:p w:rsidR="00931CAA" w:rsidRDefault="0082231B">
      <w:pPr>
        <w:spacing w:before="240" w:after="0" w:line="276" w:lineRule="auto"/>
        <w:jc w:val="both"/>
        <w:rPr>
          <w:rFonts w:ascii="Arial" w:hAnsi="Arial" w:cs="Arial"/>
          <w:b/>
          <w:bCs/>
          <w:sz w:val="24"/>
          <w:szCs w:val="24"/>
        </w:rPr>
      </w:pPr>
      <w:r>
        <w:rPr>
          <w:rFonts w:ascii="Arial" w:hAnsi="Arial" w:cs="Arial"/>
          <w:b/>
          <w:bCs/>
          <w:sz w:val="24"/>
          <w:szCs w:val="24"/>
        </w:rPr>
        <w:t>12. DAS SANÇÕES ADMINISTRATIVAS</w:t>
      </w:r>
    </w:p>
    <w:p w:rsidR="00931CAA" w:rsidRDefault="0082231B">
      <w:pPr>
        <w:widowControl w:val="0"/>
        <w:tabs>
          <w:tab w:val="left" w:pos="-567"/>
        </w:tabs>
        <w:spacing w:before="120" w:after="120" w:line="276" w:lineRule="auto"/>
        <w:ind w:right="-285"/>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Comete infração administrativa, a contratada que:</w:t>
      </w:r>
    </w:p>
    <w:p w:rsidR="00931CAA" w:rsidRDefault="0082231B">
      <w:pPr>
        <w:widowControl w:val="0"/>
        <w:tabs>
          <w:tab w:val="left" w:pos="567"/>
        </w:tabs>
        <w:spacing w:before="120" w:after="120" w:line="276" w:lineRule="auto"/>
        <w:ind w:left="284" w:right="-285"/>
        <w:rPr>
          <w:rFonts w:ascii="Arial" w:hAnsi="Arial" w:cs="Arial"/>
          <w:sz w:val="24"/>
          <w:szCs w:val="24"/>
        </w:rPr>
      </w:pPr>
      <w:r>
        <w:rPr>
          <w:rFonts w:ascii="Arial" w:hAnsi="Arial" w:cs="Arial"/>
          <w:b/>
          <w:sz w:val="24"/>
          <w:szCs w:val="24"/>
        </w:rPr>
        <w:t xml:space="preserve">12.1.1. </w:t>
      </w:r>
      <w:proofErr w:type="spellStart"/>
      <w:r>
        <w:rPr>
          <w:rFonts w:ascii="Arial" w:hAnsi="Arial" w:cs="Arial"/>
          <w:sz w:val="24"/>
          <w:szCs w:val="24"/>
        </w:rPr>
        <w:t>Inexecutar</w:t>
      </w:r>
      <w:proofErr w:type="spellEnd"/>
      <w:r>
        <w:rPr>
          <w:rFonts w:ascii="Arial" w:hAnsi="Arial" w:cs="Arial"/>
          <w:sz w:val="24"/>
          <w:szCs w:val="24"/>
        </w:rPr>
        <w:t xml:space="preserve"> total ou parcialmente quaisquer das obrigações assumidas em decorrência da contratação;</w:t>
      </w:r>
    </w:p>
    <w:p w:rsidR="00931CAA" w:rsidRDefault="0082231B">
      <w:pPr>
        <w:widowControl w:val="0"/>
        <w:tabs>
          <w:tab w:val="left" w:pos="567"/>
        </w:tabs>
        <w:spacing w:before="120" w:after="120" w:line="276" w:lineRule="auto"/>
        <w:ind w:left="284"/>
        <w:rPr>
          <w:rFonts w:ascii="Arial" w:hAnsi="Arial" w:cs="Arial"/>
          <w:sz w:val="24"/>
          <w:szCs w:val="24"/>
        </w:rPr>
      </w:pPr>
      <w:r>
        <w:rPr>
          <w:rFonts w:ascii="Arial" w:hAnsi="Arial" w:cs="Arial"/>
          <w:b/>
          <w:sz w:val="24"/>
          <w:szCs w:val="24"/>
        </w:rPr>
        <w:t>12.1.2</w:t>
      </w:r>
      <w:r>
        <w:rPr>
          <w:rFonts w:ascii="Arial" w:hAnsi="Arial" w:cs="Arial"/>
          <w:sz w:val="24"/>
          <w:szCs w:val="24"/>
        </w:rPr>
        <w:t>. Ensejar o retardamento da execução do objeto;</w:t>
      </w:r>
    </w:p>
    <w:p w:rsidR="00931CAA" w:rsidRDefault="0082231B">
      <w:pPr>
        <w:widowControl w:val="0"/>
        <w:tabs>
          <w:tab w:val="left" w:pos="567"/>
        </w:tabs>
        <w:spacing w:before="120" w:after="120" w:line="276" w:lineRule="auto"/>
        <w:ind w:left="284"/>
        <w:rPr>
          <w:rFonts w:ascii="Arial" w:hAnsi="Arial" w:cs="Arial"/>
          <w:sz w:val="24"/>
          <w:szCs w:val="24"/>
        </w:rPr>
      </w:pPr>
      <w:r>
        <w:rPr>
          <w:rFonts w:ascii="Arial" w:hAnsi="Arial" w:cs="Arial"/>
          <w:b/>
          <w:sz w:val="24"/>
          <w:szCs w:val="24"/>
        </w:rPr>
        <w:t>12.1.3.</w:t>
      </w:r>
      <w:r>
        <w:rPr>
          <w:rFonts w:ascii="Arial" w:hAnsi="Arial" w:cs="Arial"/>
          <w:sz w:val="24"/>
          <w:szCs w:val="24"/>
        </w:rPr>
        <w:t xml:space="preserve"> Falhar ou fraudar na execução do contrato/ata de registro de preço;</w:t>
      </w:r>
    </w:p>
    <w:p w:rsidR="00931CAA" w:rsidRDefault="0082231B">
      <w:pPr>
        <w:widowControl w:val="0"/>
        <w:tabs>
          <w:tab w:val="left" w:pos="567"/>
        </w:tabs>
        <w:spacing w:before="120" w:after="120" w:line="276" w:lineRule="auto"/>
        <w:ind w:left="284"/>
        <w:rPr>
          <w:rFonts w:ascii="Arial" w:hAnsi="Arial" w:cs="Arial"/>
          <w:sz w:val="24"/>
          <w:szCs w:val="24"/>
        </w:rPr>
      </w:pPr>
      <w:r>
        <w:rPr>
          <w:rFonts w:ascii="Arial" w:hAnsi="Arial" w:cs="Arial"/>
          <w:b/>
          <w:sz w:val="24"/>
          <w:szCs w:val="24"/>
        </w:rPr>
        <w:t>12.1.4.</w:t>
      </w:r>
      <w:r>
        <w:rPr>
          <w:rFonts w:ascii="Arial" w:hAnsi="Arial" w:cs="Arial"/>
          <w:sz w:val="24"/>
          <w:szCs w:val="24"/>
        </w:rPr>
        <w:t xml:space="preserve"> Comportar-se de modo inidôneo;</w:t>
      </w:r>
    </w:p>
    <w:p w:rsidR="00931CAA" w:rsidRDefault="0082231B">
      <w:pPr>
        <w:widowControl w:val="0"/>
        <w:tabs>
          <w:tab w:val="left" w:pos="567"/>
        </w:tabs>
        <w:spacing w:before="120" w:after="120" w:line="276" w:lineRule="auto"/>
        <w:ind w:left="284"/>
        <w:rPr>
          <w:rFonts w:ascii="Arial" w:hAnsi="Arial" w:cs="Arial"/>
          <w:sz w:val="24"/>
          <w:szCs w:val="24"/>
        </w:rPr>
      </w:pPr>
      <w:r>
        <w:rPr>
          <w:rFonts w:ascii="Arial" w:hAnsi="Arial" w:cs="Arial"/>
          <w:b/>
          <w:sz w:val="24"/>
          <w:szCs w:val="24"/>
        </w:rPr>
        <w:t xml:space="preserve">12.1.5. </w:t>
      </w:r>
      <w:r>
        <w:rPr>
          <w:rFonts w:ascii="Arial" w:hAnsi="Arial" w:cs="Arial"/>
          <w:sz w:val="24"/>
          <w:szCs w:val="24"/>
        </w:rPr>
        <w:t>Cometer fraude fiscal.</w:t>
      </w:r>
    </w:p>
    <w:p w:rsidR="00931CAA" w:rsidRDefault="0082231B">
      <w:pPr>
        <w:widowControl w:val="0"/>
        <w:tabs>
          <w:tab w:val="left" w:pos="0"/>
        </w:tabs>
        <w:spacing w:before="120" w:after="120" w:line="276" w:lineRule="auto"/>
        <w:jc w:val="both"/>
        <w:rPr>
          <w:rFonts w:ascii="Arial" w:hAnsi="Arial" w:cs="Arial"/>
          <w:sz w:val="24"/>
          <w:szCs w:val="24"/>
        </w:rPr>
      </w:pPr>
      <w:r>
        <w:rPr>
          <w:rFonts w:ascii="Arial" w:hAnsi="Arial" w:cs="Arial"/>
          <w:b/>
          <w:sz w:val="24"/>
          <w:szCs w:val="24"/>
        </w:rPr>
        <w:t>12.2.</w:t>
      </w:r>
      <w:r>
        <w:rPr>
          <w:rFonts w:ascii="Arial" w:hAnsi="Arial" w:cs="Arial"/>
          <w:sz w:val="24"/>
          <w:szCs w:val="24"/>
        </w:rPr>
        <w:t xml:space="preserve"> Pela inexecução </w:t>
      </w:r>
      <w:r>
        <w:rPr>
          <w:rFonts w:ascii="Arial" w:hAnsi="Arial" w:cs="Arial"/>
          <w:sz w:val="24"/>
          <w:szCs w:val="24"/>
          <w:u w:val="single"/>
        </w:rPr>
        <w:t xml:space="preserve">total ou </w:t>
      </w:r>
      <w:r>
        <w:rPr>
          <w:rFonts w:ascii="Arial" w:hAnsi="Arial" w:cs="Arial"/>
          <w:sz w:val="24"/>
          <w:szCs w:val="24"/>
        </w:rPr>
        <w:t>p</w:t>
      </w:r>
      <w:r>
        <w:rPr>
          <w:rFonts w:ascii="Arial" w:hAnsi="Arial" w:cs="Arial"/>
          <w:sz w:val="24"/>
          <w:szCs w:val="24"/>
          <w:u w:val="single"/>
        </w:rPr>
        <w:t xml:space="preserve">arcial </w:t>
      </w:r>
      <w:r>
        <w:rPr>
          <w:rFonts w:ascii="Arial" w:hAnsi="Arial" w:cs="Arial"/>
          <w:sz w:val="24"/>
          <w:szCs w:val="24"/>
        </w:rPr>
        <w:t xml:space="preserve">do objeto do contrato, a Administração poderá aplicar </w:t>
      </w:r>
      <w:proofErr w:type="spellStart"/>
      <w:r>
        <w:rPr>
          <w:rFonts w:ascii="Arial" w:hAnsi="Arial" w:cs="Arial"/>
          <w:sz w:val="24"/>
          <w:szCs w:val="24"/>
        </w:rPr>
        <w:t>àcontratada</w:t>
      </w:r>
      <w:proofErr w:type="spellEnd"/>
      <w:r>
        <w:rPr>
          <w:rFonts w:ascii="Arial" w:hAnsi="Arial" w:cs="Arial"/>
          <w:sz w:val="24"/>
          <w:szCs w:val="24"/>
        </w:rPr>
        <w:t xml:space="preserve"> as seguintes sanções:</w:t>
      </w:r>
    </w:p>
    <w:p w:rsidR="00931CAA" w:rsidRDefault="0082231B">
      <w:pPr>
        <w:pStyle w:val="PargrafodaLista"/>
        <w:widowControl w:val="0"/>
        <w:spacing w:before="120" w:after="120" w:line="276" w:lineRule="auto"/>
        <w:ind w:left="284" w:right="-2"/>
        <w:jc w:val="both"/>
        <w:rPr>
          <w:rFonts w:ascii="Arial" w:hAnsi="Arial" w:cs="Arial"/>
          <w:sz w:val="24"/>
          <w:szCs w:val="24"/>
        </w:rPr>
      </w:pPr>
      <w:r>
        <w:rPr>
          <w:rFonts w:ascii="Arial" w:hAnsi="Arial" w:cs="Arial"/>
          <w:b/>
          <w:sz w:val="24"/>
          <w:szCs w:val="24"/>
        </w:rPr>
        <w:t>12.2.1. Advertência,</w:t>
      </w:r>
      <w:r>
        <w:rPr>
          <w:rFonts w:ascii="Arial" w:hAnsi="Arial" w:cs="Arial"/>
          <w:sz w:val="24"/>
          <w:szCs w:val="24"/>
        </w:rPr>
        <w:t xml:space="preserve"> por faltas leves, assim entendidas aquelas que não acarretem prejuízos significativos para a contratante;</w:t>
      </w:r>
    </w:p>
    <w:p w:rsidR="00931CAA" w:rsidRDefault="0082231B">
      <w:pPr>
        <w:widowControl w:val="0"/>
        <w:spacing w:before="120" w:after="120" w:line="276" w:lineRule="auto"/>
        <w:ind w:left="284" w:right="-2"/>
        <w:jc w:val="both"/>
        <w:rPr>
          <w:rFonts w:ascii="Arial" w:hAnsi="Arial" w:cs="Arial"/>
          <w:sz w:val="24"/>
          <w:szCs w:val="24"/>
        </w:rPr>
      </w:pPr>
      <w:r>
        <w:rPr>
          <w:rFonts w:ascii="Arial" w:hAnsi="Arial" w:cs="Arial"/>
          <w:b/>
          <w:sz w:val="24"/>
          <w:szCs w:val="24"/>
        </w:rPr>
        <w:t>12.2.2. Multa compensatória</w:t>
      </w:r>
      <w:r>
        <w:rPr>
          <w:rFonts w:ascii="Arial" w:hAnsi="Arial" w:cs="Arial"/>
          <w:sz w:val="24"/>
          <w:szCs w:val="24"/>
        </w:rPr>
        <w:t xml:space="preserve"> de 5% (cinco por cento) </w:t>
      </w:r>
      <w:r>
        <w:rPr>
          <w:rFonts w:ascii="Arial" w:hAnsi="Arial" w:cs="Arial"/>
          <w:sz w:val="24"/>
          <w:szCs w:val="24"/>
          <w:u w:val="single"/>
        </w:rPr>
        <w:t>sobre o valor total do contrato</w:t>
      </w:r>
      <w:r>
        <w:rPr>
          <w:rFonts w:ascii="Arial" w:hAnsi="Arial" w:cs="Arial"/>
          <w:sz w:val="24"/>
          <w:szCs w:val="24"/>
        </w:rPr>
        <w:t>, no caso de inexecução total do objeto;</w:t>
      </w:r>
    </w:p>
    <w:p w:rsidR="00931CAA" w:rsidRDefault="0082231B">
      <w:pPr>
        <w:pStyle w:val="PargrafodaLista"/>
        <w:widowControl w:val="0"/>
        <w:tabs>
          <w:tab w:val="left" w:pos="1418"/>
        </w:tabs>
        <w:spacing w:before="120" w:after="120" w:line="276" w:lineRule="auto"/>
        <w:ind w:left="284" w:right="-2"/>
        <w:jc w:val="both"/>
        <w:rPr>
          <w:rFonts w:ascii="Arial" w:hAnsi="Arial" w:cs="Arial"/>
          <w:sz w:val="24"/>
          <w:szCs w:val="24"/>
        </w:rPr>
      </w:pPr>
      <w:r>
        <w:rPr>
          <w:rFonts w:ascii="Arial" w:hAnsi="Arial" w:cs="Arial"/>
          <w:b/>
          <w:sz w:val="24"/>
          <w:szCs w:val="24"/>
        </w:rPr>
        <w:t>12.2.3.</w:t>
      </w:r>
      <w:r>
        <w:rPr>
          <w:rFonts w:ascii="Arial" w:hAnsi="Arial" w:cs="Arial"/>
          <w:sz w:val="24"/>
          <w:szCs w:val="24"/>
        </w:rPr>
        <w:t xml:space="preserve"> Em caso de inexecução parcial, a multa compensatória, no mesmo percentual do subitem acima, será aplicada de forma proporcional à obrigação inadimplida;</w:t>
      </w:r>
    </w:p>
    <w:p w:rsidR="00931CAA" w:rsidRDefault="0082231B">
      <w:pPr>
        <w:widowControl w:val="0"/>
        <w:tabs>
          <w:tab w:val="left" w:pos="709"/>
          <w:tab w:val="left" w:pos="895"/>
        </w:tabs>
        <w:spacing w:before="120" w:after="120" w:line="276" w:lineRule="auto"/>
        <w:ind w:left="284" w:right="-2"/>
        <w:jc w:val="both"/>
        <w:rPr>
          <w:rFonts w:ascii="Arial" w:hAnsi="Arial" w:cs="Arial"/>
          <w:sz w:val="24"/>
          <w:szCs w:val="24"/>
        </w:rPr>
      </w:pPr>
      <w:r>
        <w:rPr>
          <w:rFonts w:ascii="Arial" w:hAnsi="Arial" w:cs="Arial"/>
          <w:b/>
          <w:sz w:val="24"/>
          <w:szCs w:val="24"/>
        </w:rPr>
        <w:t>12.2.4. Suspensão de licitar e impedimento de contratar</w:t>
      </w:r>
      <w:r>
        <w:rPr>
          <w:rFonts w:ascii="Arial" w:hAnsi="Arial" w:cs="Arial"/>
          <w:sz w:val="24"/>
          <w:szCs w:val="24"/>
        </w:rPr>
        <w:t xml:space="preserve"> com o órgão, entidade ou unidade administrativa pela qual a Administração Pública opera e atua concretamente, pelo prazo de até dois anos;</w:t>
      </w:r>
    </w:p>
    <w:p w:rsidR="00931CAA" w:rsidRDefault="0082231B">
      <w:pPr>
        <w:widowControl w:val="0"/>
        <w:tabs>
          <w:tab w:val="left" w:pos="567"/>
          <w:tab w:val="left" w:pos="895"/>
          <w:tab w:val="left" w:pos="9496"/>
        </w:tabs>
        <w:spacing w:before="120" w:after="120" w:line="360" w:lineRule="auto"/>
        <w:ind w:left="284" w:right="-2"/>
        <w:jc w:val="both"/>
        <w:rPr>
          <w:rFonts w:ascii="Arial" w:hAnsi="Arial" w:cs="Arial"/>
          <w:sz w:val="24"/>
          <w:szCs w:val="24"/>
        </w:rPr>
      </w:pPr>
      <w:r>
        <w:rPr>
          <w:rFonts w:ascii="Arial" w:hAnsi="Arial" w:cs="Arial"/>
          <w:b/>
          <w:sz w:val="24"/>
          <w:szCs w:val="24"/>
        </w:rPr>
        <w:t>12.2.5. Declaração de inidoneidade para licitar ou contratar</w:t>
      </w:r>
      <w:r>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31CAA" w:rsidRDefault="0082231B">
      <w:pPr>
        <w:widowControl w:val="0"/>
        <w:spacing w:before="120" w:after="120" w:line="360" w:lineRule="auto"/>
        <w:ind w:right="-2"/>
        <w:jc w:val="both"/>
        <w:rPr>
          <w:rFonts w:ascii="Arial" w:hAnsi="Arial" w:cs="Arial"/>
          <w:sz w:val="24"/>
          <w:szCs w:val="24"/>
        </w:rPr>
      </w:pPr>
      <w:r>
        <w:rPr>
          <w:rFonts w:ascii="Arial" w:hAnsi="Arial" w:cs="Arial"/>
          <w:b/>
          <w:sz w:val="24"/>
          <w:szCs w:val="24"/>
        </w:rPr>
        <w:t>12.3.</w:t>
      </w:r>
      <w:r>
        <w:rPr>
          <w:rFonts w:ascii="Arial" w:hAnsi="Arial" w:cs="Arial"/>
          <w:sz w:val="24"/>
          <w:szCs w:val="24"/>
        </w:rPr>
        <w:t xml:space="preserve"> As sanções previstas nos subitens 12.2.1, 12.2.4 e 12.2.5 poderão ser aplicadas a </w:t>
      </w:r>
      <w:proofErr w:type="spellStart"/>
      <w:r>
        <w:rPr>
          <w:rFonts w:ascii="Arial" w:hAnsi="Arial" w:cs="Arial"/>
          <w:sz w:val="24"/>
          <w:szCs w:val="24"/>
        </w:rPr>
        <w:t>contratadajuntamente</w:t>
      </w:r>
      <w:proofErr w:type="spellEnd"/>
      <w:r>
        <w:rPr>
          <w:rFonts w:ascii="Arial" w:hAnsi="Arial" w:cs="Arial"/>
          <w:sz w:val="24"/>
          <w:szCs w:val="24"/>
        </w:rPr>
        <w:t xml:space="preserve"> com as de multa.</w:t>
      </w:r>
    </w:p>
    <w:p w:rsidR="00931CAA" w:rsidRDefault="0082231B">
      <w:pPr>
        <w:widowControl w:val="0"/>
        <w:tabs>
          <w:tab w:val="left" w:pos="0"/>
        </w:tabs>
        <w:spacing w:before="120" w:after="120" w:line="360" w:lineRule="auto"/>
        <w:ind w:right="-2"/>
        <w:jc w:val="both"/>
        <w:rPr>
          <w:rFonts w:ascii="Arial" w:hAnsi="Arial" w:cs="Arial"/>
          <w:sz w:val="24"/>
          <w:szCs w:val="24"/>
        </w:rPr>
      </w:pPr>
      <w:r>
        <w:rPr>
          <w:rFonts w:ascii="Arial" w:hAnsi="Arial" w:cs="Arial"/>
          <w:b/>
          <w:sz w:val="24"/>
          <w:szCs w:val="24"/>
        </w:rPr>
        <w:t>12.4.</w:t>
      </w:r>
      <w:r>
        <w:rPr>
          <w:rFonts w:ascii="Arial" w:hAnsi="Arial" w:cs="Arial"/>
          <w:sz w:val="24"/>
          <w:szCs w:val="24"/>
        </w:rPr>
        <w:t xml:space="preserve"> Também ficam sujeitas às penalidades do art. 87, III e IV da Lei nº 8.666, de 1993, as empresas ou profissionais que:</w:t>
      </w:r>
    </w:p>
    <w:p w:rsidR="00931CAA" w:rsidRDefault="0082231B">
      <w:pPr>
        <w:widowControl w:val="0"/>
        <w:tabs>
          <w:tab w:val="left" w:pos="9072"/>
        </w:tabs>
        <w:spacing w:before="120" w:after="120" w:line="360" w:lineRule="auto"/>
        <w:ind w:left="284" w:right="-2"/>
        <w:jc w:val="both"/>
        <w:rPr>
          <w:rFonts w:ascii="Arial" w:hAnsi="Arial" w:cs="Arial"/>
          <w:sz w:val="24"/>
          <w:szCs w:val="24"/>
        </w:rPr>
      </w:pPr>
      <w:r>
        <w:rPr>
          <w:rFonts w:ascii="Arial" w:hAnsi="Arial" w:cs="Arial"/>
          <w:b/>
          <w:sz w:val="24"/>
          <w:szCs w:val="24"/>
        </w:rPr>
        <w:t>12.4.1</w:t>
      </w:r>
      <w:r>
        <w:rPr>
          <w:rFonts w:ascii="Arial" w:hAnsi="Arial" w:cs="Arial"/>
          <w:sz w:val="24"/>
          <w:szCs w:val="24"/>
        </w:rPr>
        <w:t>. Tenham sofrido condenação definitiva por praticar, por meio dolosos, fraude fiscal no recolhimento de quaisquer tributos;</w:t>
      </w:r>
    </w:p>
    <w:p w:rsidR="00931CAA" w:rsidRDefault="0082231B">
      <w:pPr>
        <w:widowControl w:val="0"/>
        <w:spacing w:before="120" w:after="120" w:line="360" w:lineRule="auto"/>
        <w:ind w:left="284" w:right="227"/>
        <w:jc w:val="both"/>
        <w:rPr>
          <w:rFonts w:ascii="Arial" w:hAnsi="Arial" w:cs="Arial"/>
          <w:sz w:val="24"/>
          <w:szCs w:val="24"/>
        </w:rPr>
      </w:pPr>
      <w:r>
        <w:rPr>
          <w:rFonts w:ascii="Arial" w:hAnsi="Arial" w:cs="Arial"/>
          <w:b/>
          <w:sz w:val="24"/>
          <w:szCs w:val="24"/>
        </w:rPr>
        <w:t>12.4.2.</w:t>
      </w:r>
      <w:r>
        <w:rPr>
          <w:rFonts w:ascii="Arial" w:hAnsi="Arial" w:cs="Arial"/>
          <w:sz w:val="24"/>
          <w:szCs w:val="24"/>
        </w:rPr>
        <w:t xml:space="preserve"> Tenham praticado atos ilícitos visando a frustrar os objetivos da licitação;</w:t>
      </w:r>
    </w:p>
    <w:p w:rsidR="00931CAA" w:rsidRDefault="0082231B">
      <w:pPr>
        <w:widowControl w:val="0"/>
        <w:spacing w:before="120" w:after="120" w:line="360" w:lineRule="auto"/>
        <w:ind w:left="284" w:right="-2"/>
        <w:jc w:val="both"/>
        <w:rPr>
          <w:rFonts w:ascii="Arial" w:hAnsi="Arial" w:cs="Arial"/>
          <w:sz w:val="24"/>
          <w:szCs w:val="24"/>
        </w:rPr>
      </w:pPr>
      <w:r>
        <w:rPr>
          <w:rFonts w:ascii="Arial" w:hAnsi="Arial" w:cs="Arial"/>
          <w:b/>
          <w:sz w:val="24"/>
          <w:szCs w:val="24"/>
        </w:rPr>
        <w:t>12.4.3.</w:t>
      </w:r>
      <w:r>
        <w:rPr>
          <w:rFonts w:ascii="Arial" w:hAnsi="Arial" w:cs="Arial"/>
          <w:sz w:val="24"/>
          <w:szCs w:val="24"/>
        </w:rPr>
        <w:t xml:space="preserve"> Demonstrem não possuir idoneidade para contratar com a Administração em virtude de atos ilícitos praticados.</w:t>
      </w:r>
    </w:p>
    <w:p w:rsidR="00931CAA" w:rsidRDefault="0082231B">
      <w:pPr>
        <w:widowControl w:val="0"/>
        <w:tabs>
          <w:tab w:val="left" w:pos="0"/>
        </w:tabs>
        <w:spacing w:before="120" w:after="120" w:line="276" w:lineRule="auto"/>
        <w:ind w:right="-2"/>
        <w:jc w:val="both"/>
        <w:rPr>
          <w:rFonts w:ascii="Arial" w:hAnsi="Arial" w:cs="Arial"/>
          <w:sz w:val="24"/>
          <w:szCs w:val="24"/>
        </w:rPr>
      </w:pPr>
      <w:r>
        <w:rPr>
          <w:rFonts w:ascii="Arial" w:hAnsi="Arial" w:cs="Arial"/>
          <w:b/>
          <w:sz w:val="24"/>
          <w:szCs w:val="24"/>
        </w:rPr>
        <w:t xml:space="preserve">12.5. </w:t>
      </w:r>
      <w:r>
        <w:rPr>
          <w:rFonts w:ascii="Arial" w:hAnsi="Arial" w:cs="Arial"/>
          <w:sz w:val="24"/>
          <w:szCs w:val="24"/>
        </w:rPr>
        <w:t>A aplicação de qualquer das penalidades previstas realizar-se-á em processo administrativo que assegurará o contraditório e a ampla defesa à contratada, observando-se o procedimento previsto na Lei n 8.666/93.</w:t>
      </w:r>
    </w:p>
    <w:p w:rsidR="00931CAA" w:rsidRDefault="0082231B">
      <w:pPr>
        <w:widowControl w:val="0"/>
        <w:tabs>
          <w:tab w:val="left" w:pos="0"/>
        </w:tabs>
        <w:spacing w:before="120" w:after="120" w:line="276" w:lineRule="auto"/>
        <w:ind w:right="-2"/>
        <w:jc w:val="both"/>
        <w:rPr>
          <w:rFonts w:ascii="Arial" w:hAnsi="Arial" w:cs="Arial"/>
          <w:sz w:val="24"/>
          <w:szCs w:val="24"/>
        </w:rPr>
      </w:pPr>
      <w:r>
        <w:rPr>
          <w:rFonts w:ascii="Arial" w:hAnsi="Arial" w:cs="Arial"/>
          <w:b/>
          <w:sz w:val="24"/>
          <w:szCs w:val="24"/>
        </w:rPr>
        <w:t>12.6.</w:t>
      </w:r>
      <w:r>
        <w:rPr>
          <w:rFonts w:ascii="Arial" w:hAnsi="Arial" w:cs="Arial"/>
          <w:sz w:val="24"/>
          <w:szCs w:val="24"/>
        </w:rPr>
        <w:t xml:space="preserve"> Caso a contratante determine, a multa deverá ser recolhida no prazo máximo de 30 dias corridos, a contar da data do recebimento da comunicação enviada pela autoridade competente.</w:t>
      </w:r>
    </w:p>
    <w:p w:rsidR="00931CAA" w:rsidRDefault="0082231B">
      <w:pPr>
        <w:widowControl w:val="0"/>
        <w:tabs>
          <w:tab w:val="left" w:pos="0"/>
        </w:tabs>
        <w:spacing w:before="120" w:after="120" w:line="360" w:lineRule="auto"/>
        <w:ind w:right="-2"/>
        <w:jc w:val="both"/>
        <w:rPr>
          <w:rFonts w:ascii="Arial" w:hAnsi="Arial" w:cs="Arial"/>
          <w:sz w:val="24"/>
          <w:szCs w:val="24"/>
        </w:rPr>
      </w:pPr>
      <w:r>
        <w:rPr>
          <w:rFonts w:ascii="Arial" w:hAnsi="Arial" w:cs="Arial"/>
          <w:b/>
          <w:sz w:val="24"/>
          <w:szCs w:val="24"/>
        </w:rPr>
        <w:t>12.7.</w:t>
      </w:r>
      <w:r>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931CAA" w:rsidRDefault="0082231B">
      <w:pPr>
        <w:widowControl w:val="0"/>
        <w:tabs>
          <w:tab w:val="left" w:pos="0"/>
        </w:tabs>
        <w:spacing w:before="120" w:after="0" w:line="360" w:lineRule="auto"/>
        <w:ind w:right="-2"/>
        <w:jc w:val="both"/>
        <w:rPr>
          <w:rFonts w:ascii="Arial" w:hAnsi="Arial" w:cs="Arial"/>
          <w:sz w:val="24"/>
          <w:szCs w:val="24"/>
        </w:rPr>
      </w:pPr>
      <w:r>
        <w:rPr>
          <w:rFonts w:ascii="Arial" w:hAnsi="Arial" w:cs="Arial"/>
          <w:b/>
          <w:sz w:val="24"/>
          <w:szCs w:val="24"/>
        </w:rPr>
        <w:t>12.8.</w:t>
      </w:r>
      <w:r>
        <w:rPr>
          <w:rFonts w:ascii="Arial" w:hAnsi="Arial" w:cs="Arial"/>
          <w:sz w:val="24"/>
          <w:szCs w:val="24"/>
        </w:rPr>
        <w:t xml:space="preserve"> As penalidades serão obrigatoriamente registradas no Tribunal de Contas do Estado do Rio de Janeiro.</w:t>
      </w:r>
    </w:p>
    <w:p w:rsidR="00931CAA" w:rsidRDefault="0082231B">
      <w:pPr>
        <w:widowControl w:val="0"/>
        <w:tabs>
          <w:tab w:val="left" w:pos="0"/>
        </w:tabs>
        <w:spacing w:before="240" w:after="0" w:line="276" w:lineRule="auto"/>
        <w:jc w:val="both"/>
        <w:rPr>
          <w:rFonts w:ascii="Arial" w:hAnsi="Arial" w:cs="Arial"/>
          <w:b/>
          <w:sz w:val="24"/>
          <w:szCs w:val="24"/>
        </w:rPr>
      </w:pPr>
      <w:r>
        <w:rPr>
          <w:rFonts w:ascii="Arial" w:hAnsi="Arial" w:cs="Arial"/>
          <w:b/>
          <w:sz w:val="24"/>
          <w:szCs w:val="24"/>
        </w:rPr>
        <w:t>13. DA GARANTIA E ASSISTÊNCIA TÉCNICA</w:t>
      </w:r>
    </w:p>
    <w:p w:rsidR="00931CAA" w:rsidRDefault="0082231B">
      <w:pPr>
        <w:widowControl w:val="0"/>
        <w:tabs>
          <w:tab w:val="left" w:pos="0"/>
        </w:tabs>
        <w:spacing w:before="120" w:after="0" w:line="360" w:lineRule="auto"/>
        <w:jc w:val="both"/>
        <w:rPr>
          <w:rFonts w:ascii="Arial" w:hAnsi="Arial" w:cs="Arial"/>
          <w:sz w:val="24"/>
          <w:szCs w:val="24"/>
        </w:rPr>
      </w:pPr>
      <w:r>
        <w:rPr>
          <w:rFonts w:ascii="Arial" w:hAnsi="Arial" w:cs="Arial"/>
          <w:b/>
          <w:sz w:val="24"/>
          <w:szCs w:val="24"/>
        </w:rPr>
        <w:t xml:space="preserve">13.1. </w:t>
      </w:r>
      <w:r>
        <w:rPr>
          <w:rFonts w:ascii="Arial" w:hAnsi="Arial" w:cs="Arial"/>
          <w:sz w:val="24"/>
          <w:szCs w:val="24"/>
        </w:rPr>
        <w:t>A garantia de funcionamento dos equipamentos eletrônicos e assistência técnica será prestada sem quaisquer ônus para a Contratante, englobando a reparação de eventuais vícios e falhas dos equipamentos e a substituição de peças e componentes originais que se apresentem defeituosos, incluindo o fornecimento, substituição e instalação de todos os itens consumíveis, ou seja, todas as medidas necessárias para a conservação e os cuidados técnicos indispensáveis ao funcionamento regular e permanente dos equipamentos fornecidos, de acordo com o estabelecido na proposta comercial e no manual do fabricante.</w:t>
      </w:r>
    </w:p>
    <w:p w:rsidR="00931CAA" w:rsidRDefault="0082231B">
      <w:pPr>
        <w:spacing w:before="120" w:after="0" w:line="360" w:lineRule="auto"/>
        <w:jc w:val="both"/>
        <w:rPr>
          <w:rFonts w:ascii="Arial" w:hAnsi="Arial" w:cs="Arial"/>
          <w:sz w:val="24"/>
          <w:szCs w:val="24"/>
        </w:rPr>
      </w:pPr>
      <w:r>
        <w:rPr>
          <w:rFonts w:ascii="Arial" w:hAnsi="Arial" w:cs="Arial"/>
          <w:b/>
          <w:sz w:val="24"/>
          <w:szCs w:val="24"/>
        </w:rPr>
        <w:t xml:space="preserve">13.2. </w:t>
      </w:r>
      <w:r>
        <w:rPr>
          <w:rFonts w:ascii="Arial" w:hAnsi="Arial" w:cs="Arial"/>
          <w:sz w:val="24"/>
          <w:szCs w:val="24"/>
        </w:rPr>
        <w:t>A contratada ficará responsável pela assistência técnica dos bens e respectiva manutenção gratuita durante o período de garantia (doze meses), ainda que a referida assistência técnica e manutenção sejam prestadas por outra empresa.</w:t>
      </w:r>
    </w:p>
    <w:p w:rsidR="00931CAA" w:rsidRDefault="0082231B">
      <w:pPr>
        <w:widowControl w:val="0"/>
        <w:tabs>
          <w:tab w:val="left" w:pos="0"/>
        </w:tabs>
        <w:spacing w:before="240" w:after="120" w:line="276" w:lineRule="auto"/>
        <w:jc w:val="both"/>
        <w:rPr>
          <w:rFonts w:ascii="Arial" w:hAnsi="Arial" w:cs="Arial"/>
          <w:b/>
          <w:sz w:val="24"/>
          <w:szCs w:val="24"/>
        </w:rPr>
      </w:pPr>
      <w:r>
        <w:rPr>
          <w:rFonts w:ascii="Arial" w:hAnsi="Arial" w:cs="Arial"/>
          <w:b/>
          <w:sz w:val="24"/>
          <w:szCs w:val="24"/>
        </w:rPr>
        <w:t>14. DO CONTRATO E SUA VIGÊNCIA</w:t>
      </w:r>
    </w:p>
    <w:p w:rsidR="00931CAA" w:rsidRDefault="0082231B">
      <w:pPr>
        <w:widowControl w:val="0"/>
        <w:tabs>
          <w:tab w:val="left" w:pos="0"/>
          <w:tab w:val="left" w:pos="567"/>
        </w:tabs>
        <w:spacing w:before="120" w:after="0" w:line="276" w:lineRule="auto"/>
        <w:jc w:val="both"/>
        <w:rPr>
          <w:rFonts w:ascii="Arial" w:hAnsi="Arial" w:cs="Arial"/>
          <w:b/>
          <w:sz w:val="24"/>
          <w:szCs w:val="24"/>
        </w:rPr>
      </w:pPr>
      <w:r>
        <w:rPr>
          <w:rFonts w:ascii="Arial" w:hAnsi="Arial" w:cs="Arial"/>
          <w:b/>
          <w:sz w:val="24"/>
          <w:szCs w:val="24"/>
        </w:rPr>
        <w:t xml:space="preserve">14.1. </w:t>
      </w:r>
      <w:r>
        <w:rPr>
          <w:rFonts w:ascii="Arial" w:eastAsia="Calibri" w:hAnsi="Arial" w:cs="Arial"/>
          <w:sz w:val="24"/>
          <w:szCs w:val="24"/>
          <w:lang w:eastAsia="pt-BR"/>
        </w:rPr>
        <w:t>O Contrato terá duração de 12meses e terá vigência a partir da data de sua assinatura</w:t>
      </w:r>
      <w:r>
        <w:rPr>
          <w:rFonts w:ascii="Arial" w:eastAsia="Calibri" w:hAnsi="Arial" w:cs="Arial"/>
          <w:bCs/>
          <w:sz w:val="24"/>
          <w:szCs w:val="24"/>
          <w:lang w:eastAsia="pt-BR"/>
        </w:rPr>
        <w:t>.</w:t>
      </w:r>
    </w:p>
    <w:p w:rsidR="00931CAA" w:rsidRDefault="0082231B">
      <w:pPr>
        <w:pStyle w:val="Nivel1"/>
        <w:tabs>
          <w:tab w:val="left" w:pos="426"/>
        </w:tabs>
        <w:spacing w:before="240" w:after="0"/>
        <w:rPr>
          <w:color w:val="auto"/>
          <w:sz w:val="24"/>
          <w:szCs w:val="24"/>
        </w:rPr>
      </w:pPr>
      <w:r>
        <w:rPr>
          <w:color w:val="auto"/>
          <w:sz w:val="24"/>
          <w:szCs w:val="24"/>
        </w:rPr>
        <w:t>15. DA SUBCONTRATAÇÃO</w:t>
      </w:r>
    </w:p>
    <w:p w:rsidR="00931CAA" w:rsidRDefault="0082231B">
      <w:pPr>
        <w:spacing w:before="120" w:after="0" w:line="276" w:lineRule="auto"/>
        <w:jc w:val="both"/>
        <w:rPr>
          <w:rFonts w:ascii="Arial" w:hAnsi="Arial" w:cs="Arial"/>
          <w:sz w:val="24"/>
          <w:szCs w:val="24"/>
        </w:rPr>
      </w:pPr>
      <w:r>
        <w:rPr>
          <w:rFonts w:ascii="Arial" w:hAnsi="Arial" w:cs="Arial"/>
          <w:b/>
          <w:sz w:val="24"/>
          <w:szCs w:val="24"/>
        </w:rPr>
        <w:t>15.1.</w:t>
      </w:r>
      <w:r>
        <w:rPr>
          <w:rFonts w:ascii="Arial" w:hAnsi="Arial" w:cs="Arial"/>
          <w:sz w:val="24"/>
          <w:szCs w:val="24"/>
        </w:rPr>
        <w:t xml:space="preserve"> Não será admitida a subcontratação.</w:t>
      </w:r>
    </w:p>
    <w:p w:rsidR="00931CAA" w:rsidRDefault="0082231B">
      <w:pPr>
        <w:spacing w:before="240" w:after="0" w:line="348" w:lineRule="auto"/>
        <w:jc w:val="both"/>
        <w:rPr>
          <w:rFonts w:ascii="Arial" w:hAnsi="Arial" w:cs="Arial"/>
          <w:sz w:val="24"/>
          <w:szCs w:val="24"/>
        </w:rPr>
      </w:pPr>
      <w:r>
        <w:rPr>
          <w:rFonts w:ascii="Arial" w:hAnsi="Arial" w:cs="Arial"/>
          <w:b/>
          <w:bCs/>
          <w:sz w:val="24"/>
          <w:szCs w:val="24"/>
        </w:rPr>
        <w:t>16. DA DOTAÇÃO ORÇAMENTÁRIA</w:t>
      </w:r>
    </w:p>
    <w:p w:rsidR="00931CAA" w:rsidRDefault="0082231B">
      <w:pPr>
        <w:spacing w:before="120" w:after="0" w:line="360" w:lineRule="auto"/>
        <w:ind w:right="-2"/>
        <w:jc w:val="both"/>
        <w:rPr>
          <w:rFonts w:ascii="Arial" w:hAnsi="Arial" w:cs="Arial"/>
          <w:sz w:val="24"/>
          <w:szCs w:val="24"/>
        </w:rPr>
      </w:pPr>
      <w:r>
        <w:rPr>
          <w:rFonts w:ascii="Arial" w:hAnsi="Arial" w:cs="Arial"/>
          <w:b/>
          <w:sz w:val="24"/>
          <w:szCs w:val="24"/>
        </w:rPr>
        <w:t xml:space="preserve">16.1. </w:t>
      </w:r>
      <w:r>
        <w:rPr>
          <w:rFonts w:ascii="Arial" w:hAnsi="Arial" w:cs="Arial"/>
          <w:sz w:val="24"/>
          <w:szCs w:val="24"/>
        </w:rPr>
        <w:t>As despesas decorrentes desta contratação estão programadas em dotação orçamentária própria, prevista no orçamento do Município – Secretaria Municipal de Saúde, Fundo Municipal de Saúde para o exercício de 2022 na classificação abaixo:</w:t>
      </w:r>
    </w:p>
    <w:tbl>
      <w:tblPr>
        <w:tblW w:w="8789" w:type="dxa"/>
        <w:jc w:val="center"/>
        <w:tblLayout w:type="fixed"/>
        <w:tblCellMar>
          <w:top w:w="55" w:type="dxa"/>
          <w:left w:w="55" w:type="dxa"/>
          <w:bottom w:w="55" w:type="dxa"/>
          <w:right w:w="55" w:type="dxa"/>
        </w:tblCellMar>
        <w:tblLook w:val="0000" w:firstRow="0" w:lastRow="0" w:firstColumn="0" w:lastColumn="0" w:noHBand="0" w:noVBand="0"/>
      </w:tblPr>
      <w:tblGrid>
        <w:gridCol w:w="2624"/>
        <w:gridCol w:w="6165"/>
      </w:tblGrid>
      <w:tr w:rsidR="00931CAA">
        <w:trPr>
          <w:jc w:val="center"/>
        </w:trPr>
        <w:tc>
          <w:tcPr>
            <w:tcW w:w="2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Órgão</w:t>
            </w:r>
          </w:p>
        </w:tc>
        <w:tc>
          <w:tcPr>
            <w:tcW w:w="6164" w:type="dxa"/>
            <w:tcBorders>
              <w:top w:val="single" w:sz="2" w:space="0" w:color="000000"/>
              <w:left w:val="single" w:sz="2" w:space="0" w:color="000000"/>
              <w:bottom w:val="single" w:sz="2" w:space="0" w:color="000000"/>
              <w:right w:val="single" w:sz="2"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08</w:t>
            </w:r>
          </w:p>
        </w:tc>
      </w:tr>
      <w:tr w:rsidR="00931CAA">
        <w:trPr>
          <w:trHeight w:val="248"/>
          <w:jc w:val="center"/>
        </w:trPr>
        <w:tc>
          <w:tcPr>
            <w:tcW w:w="2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Unidade</w:t>
            </w:r>
          </w:p>
        </w:tc>
        <w:tc>
          <w:tcPr>
            <w:tcW w:w="6164" w:type="dxa"/>
            <w:tcBorders>
              <w:top w:val="single" w:sz="2" w:space="0" w:color="000000"/>
              <w:left w:val="single" w:sz="2" w:space="0" w:color="000000"/>
              <w:bottom w:val="single" w:sz="2" w:space="0" w:color="000000"/>
              <w:right w:val="single" w:sz="2"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002</w:t>
            </w:r>
          </w:p>
        </w:tc>
      </w:tr>
      <w:tr w:rsidR="00931CAA">
        <w:trPr>
          <w:jc w:val="center"/>
        </w:trPr>
        <w:tc>
          <w:tcPr>
            <w:tcW w:w="2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Programa de Trabalho</w:t>
            </w:r>
          </w:p>
        </w:tc>
        <w:tc>
          <w:tcPr>
            <w:tcW w:w="6164" w:type="dxa"/>
            <w:tcBorders>
              <w:top w:val="single" w:sz="2" w:space="0" w:color="000000"/>
              <w:left w:val="single" w:sz="2" w:space="0" w:color="000000"/>
              <w:bottom w:val="single" w:sz="2" w:space="0" w:color="000000"/>
              <w:right w:val="single" w:sz="2"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10.305.0044.2164</w:t>
            </w:r>
          </w:p>
        </w:tc>
      </w:tr>
      <w:tr w:rsidR="00931CAA">
        <w:trPr>
          <w:jc w:val="center"/>
        </w:trPr>
        <w:tc>
          <w:tcPr>
            <w:tcW w:w="2624" w:type="dxa"/>
            <w:tcBorders>
              <w:left w:val="single" w:sz="2" w:space="0" w:color="000000"/>
              <w:bottom w:val="single" w:sz="4" w:space="0" w:color="000000"/>
              <w:right w:val="single" w:sz="2"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Elemento de Despesa</w:t>
            </w:r>
          </w:p>
        </w:tc>
        <w:tc>
          <w:tcPr>
            <w:tcW w:w="6164" w:type="dxa"/>
            <w:tcBorders>
              <w:left w:val="single" w:sz="2" w:space="0" w:color="000000"/>
              <w:bottom w:val="single" w:sz="4" w:space="0" w:color="000000"/>
              <w:right w:val="single" w:sz="2"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4.4.90.52.00.00</w:t>
            </w:r>
          </w:p>
        </w:tc>
      </w:tr>
      <w:tr w:rsidR="00931CAA">
        <w:trPr>
          <w:jc w:val="center"/>
        </w:trPr>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Fonte</w:t>
            </w:r>
          </w:p>
        </w:tc>
        <w:tc>
          <w:tcPr>
            <w:tcW w:w="6164" w:type="dxa"/>
            <w:tcBorders>
              <w:top w:val="single" w:sz="4" w:space="0" w:color="000000"/>
              <w:left w:val="single" w:sz="4" w:space="0" w:color="000000"/>
              <w:bottom w:val="single" w:sz="4" w:space="0" w:color="000000"/>
              <w:right w:val="single" w:sz="4"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05</w:t>
            </w:r>
          </w:p>
        </w:tc>
      </w:tr>
      <w:tr w:rsidR="00931CAA">
        <w:trPr>
          <w:jc w:val="center"/>
        </w:trPr>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CAA" w:rsidRDefault="0082231B">
            <w:pPr>
              <w:pStyle w:val="Contedodatabela"/>
              <w:spacing w:line="276" w:lineRule="auto"/>
              <w:ind w:firstLine="88"/>
              <w:rPr>
                <w:rFonts w:ascii="Arial" w:hAnsi="Arial" w:cs="Arial"/>
              </w:rPr>
            </w:pPr>
            <w:r>
              <w:rPr>
                <w:rFonts w:ascii="Arial" w:hAnsi="Arial" w:cs="Arial"/>
              </w:rPr>
              <w:t>Ficha</w:t>
            </w:r>
          </w:p>
        </w:tc>
        <w:tc>
          <w:tcPr>
            <w:tcW w:w="6164" w:type="dxa"/>
            <w:tcBorders>
              <w:top w:val="single" w:sz="4" w:space="0" w:color="000000"/>
              <w:left w:val="single" w:sz="4" w:space="0" w:color="000000"/>
              <w:bottom w:val="single" w:sz="4" w:space="0" w:color="000000"/>
              <w:right w:val="single" w:sz="4" w:space="0" w:color="000000"/>
            </w:tcBorders>
            <w:vAlign w:val="center"/>
          </w:tcPr>
          <w:p w:rsidR="00931CAA" w:rsidRDefault="0082231B">
            <w:pPr>
              <w:pStyle w:val="Contedodatabela"/>
              <w:spacing w:line="276" w:lineRule="auto"/>
              <w:jc w:val="center"/>
              <w:rPr>
                <w:rFonts w:ascii="Arial" w:hAnsi="Arial" w:cs="Arial"/>
              </w:rPr>
            </w:pPr>
            <w:r>
              <w:rPr>
                <w:rFonts w:ascii="Arial" w:hAnsi="Arial" w:cs="Arial"/>
              </w:rPr>
              <w:t>256</w:t>
            </w:r>
          </w:p>
        </w:tc>
      </w:tr>
    </w:tbl>
    <w:p w:rsidR="00931CAA" w:rsidRDefault="00931CAA">
      <w:pPr>
        <w:spacing w:after="0" w:line="240" w:lineRule="auto"/>
        <w:jc w:val="both"/>
        <w:rPr>
          <w:rFonts w:ascii="Arial" w:hAnsi="Arial" w:cs="Arial"/>
          <w:sz w:val="24"/>
          <w:szCs w:val="24"/>
        </w:rPr>
      </w:pPr>
    </w:p>
    <w:p w:rsidR="00931CAA" w:rsidRDefault="0082231B">
      <w:pPr>
        <w:pStyle w:val="Nivel1"/>
        <w:spacing w:before="120"/>
        <w:rPr>
          <w:color w:val="auto"/>
          <w:sz w:val="24"/>
          <w:szCs w:val="24"/>
        </w:rPr>
      </w:pPr>
      <w:r>
        <w:rPr>
          <w:color w:val="auto"/>
          <w:sz w:val="24"/>
          <w:szCs w:val="24"/>
        </w:rPr>
        <w:t>17. DAS DISPOSIÇÕES GERAIS</w:t>
      </w:r>
    </w:p>
    <w:p w:rsidR="00931CAA" w:rsidRDefault="0082231B">
      <w:pPr>
        <w:widowControl w:val="0"/>
        <w:tabs>
          <w:tab w:val="left" w:pos="142"/>
          <w:tab w:val="left" w:pos="426"/>
        </w:tabs>
        <w:spacing w:before="120" w:after="0" w:line="360" w:lineRule="auto"/>
        <w:ind w:right="-2"/>
        <w:jc w:val="both"/>
        <w:rPr>
          <w:rFonts w:ascii="Arial" w:hAnsi="Arial" w:cs="Arial"/>
          <w:sz w:val="24"/>
          <w:szCs w:val="24"/>
        </w:rPr>
      </w:pPr>
      <w:r>
        <w:rPr>
          <w:rFonts w:ascii="Arial" w:hAnsi="Arial" w:cs="Arial"/>
          <w:b/>
          <w:sz w:val="24"/>
          <w:szCs w:val="24"/>
        </w:rPr>
        <w:t>17.1.</w:t>
      </w:r>
      <w:r>
        <w:rPr>
          <w:rFonts w:ascii="Arial" w:hAnsi="Arial" w:cs="Arial"/>
          <w:sz w:val="24"/>
          <w:szCs w:val="24"/>
        </w:rPr>
        <w:t xml:space="preserve"> O presente Termo de Referência (TR) segue devidamente aprovado pela autoridade competente (ordenador de despesas), nos termos da Resolução Conjunta CGM/PGM/SMGOV/SEMPLA de 12 de abril de 2021.</w:t>
      </w:r>
    </w:p>
    <w:p w:rsidR="00931CAA" w:rsidRDefault="00931CAA">
      <w:pPr>
        <w:rPr>
          <w:rFonts w:ascii="Arial" w:hAnsi="Arial" w:cs="Arial"/>
          <w:sz w:val="24"/>
          <w:szCs w:val="24"/>
        </w:rPr>
      </w:pPr>
    </w:p>
    <w:p w:rsidR="00931CAA" w:rsidRDefault="00931CAA">
      <w:pPr>
        <w:rPr>
          <w:rFonts w:ascii="Arial" w:hAnsi="Arial" w:cs="Arial"/>
          <w:sz w:val="24"/>
          <w:szCs w:val="24"/>
        </w:rPr>
      </w:pPr>
    </w:p>
    <w:p w:rsidR="00931CAA" w:rsidRDefault="00931CAA">
      <w:pPr>
        <w:spacing w:after="360" w:line="360" w:lineRule="auto"/>
        <w:ind w:right="-2"/>
        <w:jc w:val="center"/>
        <w:rPr>
          <w:rFonts w:ascii="Arial" w:hAnsi="Arial" w:cs="Arial"/>
          <w:sz w:val="24"/>
          <w:szCs w:val="24"/>
        </w:rPr>
      </w:pPr>
    </w:p>
    <w:sectPr w:rsidR="00931CAA">
      <w:headerReference w:type="default" r:id="rId8"/>
      <w:footerReference w:type="default" r:id="rId9"/>
      <w:pgSz w:w="11906" w:h="16838"/>
      <w:pgMar w:top="2381" w:right="1134" w:bottom="1276" w:left="1276" w:header="426"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C0" w:rsidRDefault="0082231B">
      <w:pPr>
        <w:spacing w:after="0" w:line="240" w:lineRule="auto"/>
      </w:pPr>
      <w:r>
        <w:separator/>
      </w:r>
    </w:p>
  </w:endnote>
  <w:endnote w:type="continuationSeparator" w:id="0">
    <w:p w:rsidR="00EE1BC0" w:rsidRDefault="0082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AA" w:rsidRDefault="00931CAA">
    <w:pPr>
      <w:pStyle w:val="Rodap"/>
      <w:jc w:val="right"/>
      <w:rPr>
        <w:rFonts w:ascii="Tahoma" w:hAnsi="Tahoma" w:cs="Tahoma"/>
        <w:sz w:val="20"/>
        <w:szCs w:val="20"/>
      </w:rPr>
    </w:pPr>
  </w:p>
  <w:p w:rsidR="00931CAA" w:rsidRDefault="00931CAA">
    <w:pP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C0" w:rsidRDefault="0082231B">
      <w:pPr>
        <w:spacing w:after="0" w:line="240" w:lineRule="auto"/>
      </w:pPr>
      <w:r>
        <w:separator/>
      </w:r>
    </w:p>
  </w:footnote>
  <w:footnote w:type="continuationSeparator" w:id="0">
    <w:p w:rsidR="00EE1BC0" w:rsidRDefault="00822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AA" w:rsidRDefault="00931CAA">
    <w:pPr>
      <w:tabs>
        <w:tab w:val="center" w:pos="4252"/>
        <w:tab w:val="right" w:pos="8504"/>
      </w:tabs>
      <w:spacing w:before="120" w:line="240" w:lineRule="auto"/>
      <w:ind w:left="-567"/>
      <w:rPr>
        <w:rFonts w:ascii="Tahoma" w:eastAsia="Tahoma" w:hAnsi="Tahoma" w:cs="Tahoma"/>
        <w:b/>
        <w:lang w:eastAsia="pt-BR"/>
      </w:rPr>
    </w:pPr>
    <w:bookmarkStart w:id="2" w:name="_Hlk68861904"/>
    <w:bookmarkEnd w:id="2"/>
  </w:p>
  <w:p w:rsidR="00931CAA" w:rsidRDefault="00931CAA">
    <w:pPr>
      <w:tabs>
        <w:tab w:val="center" w:pos="4252"/>
        <w:tab w:val="right" w:pos="8504"/>
      </w:tabs>
      <w:spacing w:after="0" w:line="240" w:lineRule="auto"/>
      <w:ind w:left="1560"/>
      <w:rPr>
        <w:rFonts w:eastAsia="Tahoma" w:cstheme="minorHAnsi"/>
        <w:b/>
        <w:sz w:val="20"/>
        <w:szCs w:val="20"/>
        <w:lang w:eastAsia="pt-BR"/>
      </w:rPr>
    </w:pPr>
  </w:p>
  <w:p w:rsidR="00931CAA" w:rsidRDefault="0082231B">
    <w:pPr>
      <w:tabs>
        <w:tab w:val="center" w:pos="4252"/>
        <w:tab w:val="right" w:pos="8504"/>
      </w:tabs>
      <w:spacing w:after="0" w:line="276" w:lineRule="auto"/>
      <w:ind w:left="1560"/>
      <w:rPr>
        <w:rFonts w:cstheme="minorHAnsi"/>
        <w:b/>
        <w:bCs/>
        <w:sz w:val="20"/>
        <w:szCs w:val="20"/>
      </w:rPr>
    </w:pPr>
    <w:r>
      <w:rPr>
        <w:rFonts w:eastAsia="Tahoma" w:cstheme="minorHAnsi"/>
        <w:b/>
        <w:sz w:val="20"/>
        <w:szCs w:val="20"/>
        <w:lang w:eastAsia="pt-BR"/>
      </w:rPr>
      <w:t>E</w:t>
    </w:r>
    <w:r>
      <w:rPr>
        <w:rFonts w:cstheme="minorHAnsi"/>
        <w:b/>
        <w:bCs/>
        <w:sz w:val="20"/>
        <w:szCs w:val="20"/>
      </w:rPr>
      <w:t>STADO DO RIO DE JANEIRO</w:t>
    </w:r>
  </w:p>
  <w:p w:rsidR="00931CAA" w:rsidRDefault="0082231B">
    <w:pPr>
      <w:tabs>
        <w:tab w:val="center" w:pos="4252"/>
        <w:tab w:val="right" w:pos="8504"/>
      </w:tabs>
      <w:spacing w:after="0" w:line="276" w:lineRule="auto"/>
      <w:ind w:left="1560"/>
      <w:rPr>
        <w:rFonts w:cstheme="minorHAnsi"/>
        <w:b/>
        <w:bCs/>
        <w:sz w:val="20"/>
        <w:szCs w:val="20"/>
      </w:rPr>
    </w:pPr>
    <w:r>
      <w:rPr>
        <w:rFonts w:cstheme="minorHAnsi"/>
        <w:b/>
        <w:bCs/>
        <w:sz w:val="20"/>
        <w:szCs w:val="20"/>
      </w:rPr>
      <w:t>MUNICIPIO DE ITABORAÍ</w:t>
    </w:r>
  </w:p>
  <w:p w:rsidR="00931CAA" w:rsidRDefault="0082231B">
    <w:pPr>
      <w:tabs>
        <w:tab w:val="center" w:pos="4252"/>
        <w:tab w:val="right" w:pos="8504"/>
      </w:tabs>
      <w:spacing w:after="0" w:line="276" w:lineRule="auto"/>
      <w:ind w:left="1560"/>
      <w:rPr>
        <w:rFonts w:cstheme="minorHAnsi"/>
        <w:b/>
        <w:bCs/>
        <w:sz w:val="20"/>
        <w:szCs w:val="20"/>
      </w:rPr>
    </w:pPr>
    <w:r>
      <w:rPr>
        <w:rFonts w:cstheme="minorHAnsi"/>
        <w:b/>
        <w:bCs/>
        <w:sz w:val="20"/>
        <w:szCs w:val="20"/>
      </w:rPr>
      <w:t>SECRETARIA MUNICIPAL DE SAÚDE</w:t>
    </w:r>
  </w:p>
  <w:p w:rsidR="00931CAA" w:rsidRDefault="0082231B">
    <w:pPr>
      <w:tabs>
        <w:tab w:val="center" w:pos="4252"/>
        <w:tab w:val="right" w:pos="8504"/>
      </w:tabs>
      <w:spacing w:after="0"/>
      <w:ind w:left="1560"/>
      <w:rPr>
        <w:rFonts w:ascii="Tahoma" w:hAnsi="Tahoma" w:cs="Tahoma"/>
        <w:bCs/>
        <w:sz w:val="20"/>
        <w:szCs w:val="20"/>
      </w:rPr>
    </w:pPr>
    <w:r>
      <w:rPr>
        <w:rFonts w:ascii="Tahoma" w:hAnsi="Tahoma" w:cs="Tahoma"/>
        <w:bCs/>
        <w:noProof/>
        <w:sz w:val="20"/>
        <w:szCs w:val="20"/>
        <w:lang w:eastAsia="pt-BR"/>
      </w:rPr>
      <mc:AlternateContent>
        <mc:Choice Requires="wps">
          <w:drawing>
            <wp:anchor distT="0" distB="0" distL="0" distR="0" simplePos="0" relativeHeight="12" behindDoc="1" locked="0" layoutInCell="0" allowOverlap="1">
              <wp:simplePos x="0" y="0"/>
              <wp:positionH relativeFrom="margin">
                <wp:align>right</wp:align>
              </wp:positionH>
              <wp:positionV relativeFrom="page">
                <wp:posOffset>628650</wp:posOffset>
              </wp:positionV>
              <wp:extent cx="1515110" cy="667385"/>
              <wp:effectExtent l="0" t="0" r="0" b="0"/>
              <wp:wrapNone/>
              <wp:docPr id="1" name="Figura1"/>
              <wp:cNvGraphicFramePr/>
              <a:graphic xmlns:a="http://schemas.openxmlformats.org/drawingml/2006/main">
                <a:graphicData uri="http://schemas.microsoft.com/office/word/2010/wordprocessingShape">
                  <wps:wsp>
                    <wps:cNvSpPr/>
                    <wps:spPr>
                      <a:xfrm>
                        <a:off x="0" y="0"/>
                        <a:ext cx="1514520" cy="666720"/>
                      </a:xfrm>
                      <a:prstGeom prst="rect">
                        <a:avLst/>
                      </a:prstGeom>
                      <a:solidFill>
                        <a:srgbClr val="FFFFFF"/>
                      </a:solidFill>
                      <a:ln w="12700">
                        <a:solidFill>
                          <a:srgbClr val="4472C4"/>
                        </a:solidFill>
                        <a:round/>
                      </a:ln>
                    </wps:spPr>
                    <wps:style>
                      <a:lnRef idx="0">
                        <a:scrgbClr r="0" g="0" b="0"/>
                      </a:lnRef>
                      <a:fillRef idx="0">
                        <a:scrgbClr r="0" g="0" b="0"/>
                      </a:fillRef>
                      <a:effectRef idx="0">
                        <a:scrgbClr r="0" g="0" b="0"/>
                      </a:effectRef>
                      <a:fontRef idx="minor"/>
                    </wps:style>
                    <wps:txbx>
                      <w:txbxContent>
                        <w:p w:rsidR="00931CAA" w:rsidRDefault="0082231B">
                          <w:pPr>
                            <w:pStyle w:val="Contedodoquadro"/>
                            <w:spacing w:after="0" w:line="276" w:lineRule="auto"/>
                            <w:ind w:right="95"/>
                            <w:jc w:val="both"/>
                            <w:rPr>
                              <w:sz w:val="16"/>
                              <w:szCs w:val="16"/>
                            </w:rPr>
                          </w:pPr>
                          <w:r>
                            <w:rPr>
                              <w:sz w:val="16"/>
                              <w:szCs w:val="16"/>
                            </w:rPr>
                            <w:t>PMI - RJ</w:t>
                          </w:r>
                        </w:p>
                        <w:p w:rsidR="00931CAA" w:rsidRDefault="0082231B">
                          <w:pPr>
                            <w:pStyle w:val="Contedodoquadro"/>
                            <w:spacing w:after="120" w:line="276" w:lineRule="auto"/>
                            <w:ind w:right="95"/>
                            <w:jc w:val="both"/>
                            <w:rPr>
                              <w:sz w:val="16"/>
                              <w:szCs w:val="16"/>
                            </w:rPr>
                          </w:pPr>
                          <w:r>
                            <w:rPr>
                              <w:sz w:val="16"/>
                              <w:szCs w:val="16"/>
                            </w:rPr>
                            <w:t>Processo nº 466/2022</w:t>
                          </w:r>
                        </w:p>
                        <w:p w:rsidR="00931CAA" w:rsidRDefault="0082231B">
                          <w:pPr>
                            <w:pStyle w:val="Contedodoquadro"/>
                            <w:spacing w:after="120" w:line="276" w:lineRule="auto"/>
                            <w:ind w:right="95"/>
                            <w:jc w:val="both"/>
                            <w:rPr>
                              <w:sz w:val="20"/>
                              <w:szCs w:val="20"/>
                            </w:rPr>
                          </w:pPr>
                          <w:proofErr w:type="gramStart"/>
                          <w:r>
                            <w:rPr>
                              <w:sz w:val="16"/>
                              <w:szCs w:val="16"/>
                            </w:rPr>
                            <w:t>Rubrica:_</w:t>
                          </w:r>
                          <w:proofErr w:type="gramEnd"/>
                          <w:r>
                            <w:rPr>
                              <w:sz w:val="16"/>
                              <w:szCs w:val="16"/>
                            </w:rPr>
                            <w:t>_____</w:t>
                          </w:r>
                          <w:proofErr w:type="spellStart"/>
                          <w:r>
                            <w:rPr>
                              <w:sz w:val="16"/>
                              <w:szCs w:val="16"/>
                            </w:rPr>
                            <w:t>Fl</w:t>
                          </w:r>
                          <w:r>
                            <w:rPr>
                              <w:sz w:val="20"/>
                              <w:szCs w:val="20"/>
                            </w:rPr>
                            <w:t>s</w:t>
                          </w:r>
                          <w:proofErr w:type="spellEnd"/>
                          <w:r>
                            <w:rPr>
                              <w:sz w:val="20"/>
                              <w:szCs w:val="20"/>
                            </w:rPr>
                            <w:t>. ______</w:t>
                          </w:r>
                        </w:p>
                        <w:p w:rsidR="00931CAA" w:rsidRDefault="00931CAA">
                          <w:pPr>
                            <w:pStyle w:val="Contedodoquadro"/>
                            <w:ind w:right="95"/>
                            <w:jc w:val="center"/>
                          </w:pPr>
                        </w:p>
                      </w:txbxContent>
                    </wps:txbx>
                    <wps:bodyPr>
                      <a:noAutofit/>
                    </wps:bodyPr>
                  </wps:wsp>
                </a:graphicData>
              </a:graphic>
            </wp:anchor>
          </w:drawing>
        </mc:Choice>
        <mc:Fallback>
          <w:pict>
            <v:rect id="Figura1" o:spid="_x0000_s1026" style="position:absolute;left:0;text-align:left;margin-left:68.1pt;margin-top:49.5pt;width:119.3pt;height:52.55pt;z-index:-503316468;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" o:allowincell="f" strokecolor="#4472c4" strokeweight="1pt">
              <v:stroke joinstyle="round"/>
              <v:textbox>
                <w:txbxContent>
                  <w:p w:rsidR="00931CAA" w:rsidRDefault="0082231B">
                    <w:pPr>
                      <w:pStyle w:val="Contedodoquadro"/>
                      <w:spacing w:after="0" w:line="276" w:lineRule="auto"/>
                      <w:ind w:right="95"/>
                      <w:jc w:val="both"/>
                      <w:rPr>
                        <w:sz w:val="16"/>
                        <w:szCs w:val="16"/>
                      </w:rPr>
                    </w:pPr>
                    <w:r>
                      <w:rPr>
                        <w:sz w:val="16"/>
                        <w:szCs w:val="16"/>
                      </w:rPr>
                      <w:t>PMI - RJ</w:t>
                    </w:r>
                  </w:p>
                  <w:p w:rsidR="00931CAA" w:rsidRDefault="0082231B">
                    <w:pPr>
                      <w:pStyle w:val="Contedodoquadro"/>
                      <w:spacing w:after="120" w:line="276" w:lineRule="auto"/>
                      <w:ind w:right="95"/>
                      <w:jc w:val="both"/>
                      <w:rPr>
                        <w:sz w:val="16"/>
                        <w:szCs w:val="16"/>
                      </w:rPr>
                    </w:pPr>
                    <w:r>
                      <w:rPr>
                        <w:sz w:val="16"/>
                        <w:szCs w:val="16"/>
                      </w:rPr>
                      <w:t>Processo nº 466/2022</w:t>
                    </w:r>
                  </w:p>
                  <w:p w:rsidR="00931CAA" w:rsidRDefault="0082231B">
                    <w:pPr>
                      <w:pStyle w:val="Contedodoquadro"/>
                      <w:spacing w:after="120" w:line="276" w:lineRule="auto"/>
                      <w:ind w:right="95"/>
                      <w:jc w:val="both"/>
                      <w:rPr>
                        <w:sz w:val="20"/>
                        <w:szCs w:val="20"/>
                      </w:rPr>
                    </w:pPr>
                    <w:proofErr w:type="gramStart"/>
                    <w:r>
                      <w:rPr>
                        <w:sz w:val="16"/>
                        <w:szCs w:val="16"/>
                      </w:rPr>
                      <w:t>Rubrica:_</w:t>
                    </w:r>
                    <w:proofErr w:type="gramEnd"/>
                    <w:r>
                      <w:rPr>
                        <w:sz w:val="16"/>
                        <w:szCs w:val="16"/>
                      </w:rPr>
                      <w:t>_____</w:t>
                    </w:r>
                    <w:proofErr w:type="spellStart"/>
                    <w:r>
                      <w:rPr>
                        <w:sz w:val="16"/>
                        <w:szCs w:val="16"/>
                      </w:rPr>
                      <w:t>Fl</w:t>
                    </w:r>
                    <w:r>
                      <w:rPr>
                        <w:sz w:val="20"/>
                        <w:szCs w:val="20"/>
                      </w:rPr>
                      <w:t>s</w:t>
                    </w:r>
                    <w:proofErr w:type="spellEnd"/>
                    <w:r>
                      <w:rPr>
                        <w:sz w:val="20"/>
                        <w:szCs w:val="20"/>
                      </w:rPr>
                      <w:t>. ______</w:t>
                    </w:r>
                  </w:p>
                  <w:p w:rsidR="00931CAA" w:rsidRDefault="00931CAA">
                    <w:pPr>
                      <w:pStyle w:val="Contedodoquadro"/>
                      <w:ind w:right="95"/>
                      <w:jc w:val="center"/>
                    </w:pPr>
                  </w:p>
                </w:txbxContent>
              </v:textbox>
              <w10:wrap anchorx="margin" anchory="page"/>
            </v:rect>
          </w:pict>
        </mc:Fallback>
      </mc:AlternateContent>
    </w:r>
    <w:r>
      <w:rPr>
        <w:rFonts w:ascii="Tahoma" w:hAnsi="Tahoma" w:cs="Tahoma"/>
        <w:bCs/>
        <w:noProof/>
        <w:sz w:val="20"/>
        <w:szCs w:val="20"/>
        <w:lang w:eastAsia="pt-BR"/>
      </w:rPr>
      <w:drawing>
        <wp:anchor distT="0" distB="0" distL="114300" distR="114300" simplePos="0" relativeHeight="23" behindDoc="1" locked="0" layoutInCell="0" allowOverlap="1">
          <wp:simplePos x="0" y="0"/>
          <wp:positionH relativeFrom="margin">
            <wp:posOffset>94615</wp:posOffset>
          </wp:positionH>
          <wp:positionV relativeFrom="margin">
            <wp:posOffset>-1005205</wp:posOffset>
          </wp:positionV>
          <wp:extent cx="876300" cy="781050"/>
          <wp:effectExtent l="0" t="0" r="0" b="0"/>
          <wp:wrapSquare wrapText="bothSides"/>
          <wp:docPr id="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9"/>
                  <pic:cNvPicPr>
                    <a:picLocks noChangeAspect="1" noChangeArrowheads="1"/>
                  </pic:cNvPicPr>
                </pic:nvPicPr>
                <pic:blipFill>
                  <a:blip r:embed="rId1"/>
                  <a:stretch>
                    <a:fillRect/>
                  </a:stretch>
                </pic:blipFill>
                <pic:spPr bwMode="auto">
                  <a:xfrm>
                    <a:off x="0" y="0"/>
                    <a:ext cx="876300" cy="781050"/>
                  </a:xfrm>
                  <a:prstGeom prst="rect">
                    <a:avLst/>
                  </a:prstGeom>
                </pic:spPr>
              </pic:pic>
            </a:graphicData>
          </a:graphic>
        </wp:anchor>
      </w:drawing>
    </w:r>
    <w:bookmarkStart w:id="3" w:name="_Hlk688619041"/>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4365"/>
    <w:multiLevelType w:val="multilevel"/>
    <w:tmpl w:val="9C02A5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4E6407F6"/>
    <w:multiLevelType w:val="multilevel"/>
    <w:tmpl w:val="47F621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710E0C"/>
    <w:multiLevelType w:val="multilevel"/>
    <w:tmpl w:val="19AA0C6A"/>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AA"/>
    <w:rsid w:val="000F6408"/>
    <w:rsid w:val="0082231B"/>
    <w:rsid w:val="00931CAA"/>
    <w:rsid w:val="00EE1BC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DDA4D-602D-4E1C-8C66-3724BE75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pPr>
      <w:spacing w:after="160" w:line="259" w:lineRule="auto"/>
    </w:pPr>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215B1"/>
  </w:style>
  <w:style w:type="character" w:customStyle="1" w:styleId="RodapChar">
    <w:name w:val="Rodapé Char"/>
    <w:basedOn w:val="Fontepargpadro"/>
    <w:link w:val="Rodap"/>
    <w:uiPriority w:val="99"/>
    <w:qFormat/>
    <w:rsid w:val="001215B1"/>
  </w:style>
  <w:style w:type="character" w:customStyle="1" w:styleId="CorpodetextoChar">
    <w:name w:val="Corpo de texto Char"/>
    <w:basedOn w:val="Fontepargpadro"/>
    <w:link w:val="Corpodetexto"/>
    <w:uiPriority w:val="1"/>
    <w:qFormat/>
    <w:rsid w:val="009119FB"/>
    <w:rPr>
      <w:rFonts w:ascii="Times New Roman" w:eastAsia="Times New Roman" w:hAnsi="Times New Roman" w:cs="Times New Roman"/>
      <w:sz w:val="24"/>
      <w:szCs w:val="24"/>
      <w:lang w:val="pt-PT" w:eastAsia="pt-PT" w:bidi="pt-PT"/>
    </w:rPr>
  </w:style>
  <w:style w:type="character" w:customStyle="1" w:styleId="Ttulo1Char">
    <w:name w:val="Título 1 Char"/>
    <w:basedOn w:val="Fontepargpadro"/>
    <w:link w:val="Ttulo1"/>
    <w:uiPriority w:val="9"/>
    <w:qFormat/>
    <w:rsid w:val="00BA2234"/>
    <w:rPr>
      <w:rFonts w:asciiTheme="majorHAnsi" w:eastAsiaTheme="majorEastAsia" w:hAnsiTheme="majorHAnsi" w:cstheme="majorBidi"/>
      <w:color w:val="2F5496" w:themeColor="accent1" w:themeShade="BF"/>
      <w:sz w:val="32"/>
      <w:szCs w:val="32"/>
    </w:rPr>
  </w:style>
  <w:style w:type="character" w:customStyle="1" w:styleId="LinkdaInternet">
    <w:name w:val="Link da Internet"/>
    <w:basedOn w:val="Fontepargpadro"/>
    <w:uiPriority w:val="99"/>
    <w:unhideWhenUsed/>
    <w:rsid w:val="00820F6D"/>
    <w:rPr>
      <w:color w:val="0000FF"/>
      <w:u w:val="single"/>
    </w:rPr>
  </w:style>
  <w:style w:type="character" w:customStyle="1" w:styleId="Nivel01Char">
    <w:name w:val="Nivel 01 Char"/>
    <w:basedOn w:val="Fontepargpadro"/>
    <w:link w:val="Nivel01"/>
    <w:qFormat/>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qFormat/>
    <w:rsid w:val="00677F8E"/>
    <w:rPr>
      <w:color w:val="605E5C"/>
      <w:shd w:val="clear" w:color="auto" w:fill="E1DFDD"/>
    </w:rPr>
  </w:style>
  <w:style w:type="character" w:customStyle="1" w:styleId="CitaoChar">
    <w:name w:val="Citação Char"/>
    <w:basedOn w:val="Fontepargpadro"/>
    <w:link w:val="Citao"/>
    <w:uiPriority w:val="29"/>
    <w:qFormat/>
    <w:rsid w:val="00AC6476"/>
    <w:rPr>
      <w:rFonts w:ascii="Arial" w:eastAsia="Calibri" w:hAnsi="Arial" w:cs="Tahoma"/>
      <w:i/>
      <w:iCs/>
      <w:color w:val="000000"/>
      <w:sz w:val="20"/>
      <w:szCs w:val="24"/>
      <w:shd w:val="clear" w:color="auto" w:fill="FFFFCC"/>
    </w:rPr>
  </w:style>
  <w:style w:type="character" w:customStyle="1" w:styleId="RecuodecorpodetextoChar">
    <w:name w:val="Recuo de corpo de texto Char"/>
    <w:basedOn w:val="Fontepargpadro"/>
    <w:link w:val="Recuodecorpodetexto"/>
    <w:uiPriority w:val="99"/>
    <w:semiHidden/>
    <w:qFormat/>
    <w:rsid w:val="00A40D34"/>
  </w:style>
  <w:style w:type="character" w:customStyle="1" w:styleId="TextodenotaderodapChar">
    <w:name w:val="Texto de nota de rodapé Char"/>
    <w:basedOn w:val="Fontepargpadro"/>
    <w:link w:val="Textodenotaderodap"/>
    <w:uiPriority w:val="99"/>
    <w:qFormat/>
    <w:rsid w:val="00A40D3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semiHidden/>
    <w:unhideWhenUsed/>
    <w:qFormat/>
    <w:rsid w:val="00A40D34"/>
    <w:rPr>
      <w:vertAlign w:val="superscript"/>
    </w:rPr>
  </w:style>
  <w:style w:type="character" w:customStyle="1" w:styleId="Nivel1Char">
    <w:name w:val="Nivel1 Char"/>
    <w:basedOn w:val="Ttulo1Char"/>
    <w:link w:val="Nivel1"/>
    <w:qFormat/>
    <w:rsid w:val="00A83FA5"/>
    <w:rPr>
      <w:rFonts w:ascii="Arial" w:eastAsiaTheme="majorEastAsia" w:hAnsi="Arial" w:cs="Arial"/>
      <w:b/>
      <w:color w:val="000000"/>
      <w:sz w:val="20"/>
      <w:szCs w:val="20"/>
      <w:lang w:eastAsia="pt-BR"/>
    </w:rPr>
  </w:style>
  <w:style w:type="character" w:customStyle="1" w:styleId="TextodebaloChar">
    <w:name w:val="Texto de balão Char"/>
    <w:basedOn w:val="Fontepargpadro"/>
    <w:link w:val="Textodebalo"/>
    <w:uiPriority w:val="99"/>
    <w:semiHidden/>
    <w:qFormat/>
    <w:rsid w:val="00222E43"/>
    <w:rPr>
      <w:rFonts w:ascii="Tahoma" w:hAnsi="Tahoma" w:cs="Tahoma"/>
      <w:sz w:val="16"/>
      <w:szCs w:val="16"/>
    </w:rPr>
  </w:style>
  <w:style w:type="character" w:customStyle="1" w:styleId="PargrafodaListaChar">
    <w:name w:val="Parágrafo da Lista Char"/>
    <w:link w:val="PargrafodaLista"/>
    <w:uiPriority w:val="34"/>
    <w:qFormat/>
    <w:locked/>
    <w:rsid w:val="007B77FC"/>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unhideWhenUsed/>
    <w:qFormat/>
    <w:rsid w:val="009119FB"/>
    <w:pPr>
      <w:widowControl w:val="0"/>
      <w:spacing w:after="0" w:line="240" w:lineRule="auto"/>
    </w:pPr>
    <w:rPr>
      <w:rFonts w:ascii="Times New Roman" w:eastAsia="Times New Roman" w:hAnsi="Times New Roman" w:cs="Times New Roman"/>
      <w:sz w:val="24"/>
      <w:szCs w:val="24"/>
      <w:lang w:val="pt-PT" w:eastAsia="pt-PT" w:bidi="pt-PT"/>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paragraph" w:styleId="PargrafodaLista">
    <w:name w:val="List Paragraph"/>
    <w:basedOn w:val="Normal"/>
    <w:link w:val="PargrafodaListaChar"/>
    <w:uiPriority w:val="34"/>
    <w:qFormat/>
    <w:rsid w:val="002B5414"/>
    <w:pPr>
      <w:ind w:left="720"/>
      <w:contextualSpacing/>
    </w:pPr>
  </w:style>
  <w:style w:type="paragraph" w:customStyle="1" w:styleId="Nivel1">
    <w:name w:val="Nivel1"/>
    <w:basedOn w:val="Ttulo1"/>
    <w:next w:val="Normal"/>
    <w:link w:val="Nivel1Char"/>
    <w:qFormat/>
    <w:rsid w:val="00BA2234"/>
    <w:pPr>
      <w:tabs>
        <w:tab w:val="left" w:pos="360"/>
      </w:tabs>
      <w:spacing w:before="480" w:after="120" w:line="276" w:lineRule="auto"/>
      <w:jc w:val="both"/>
    </w:pPr>
    <w:rPr>
      <w:rFonts w:ascii="Arial" w:hAnsi="Arial" w:cs="Arial"/>
      <w:b/>
      <w:color w:val="000000"/>
      <w:sz w:val="20"/>
      <w:szCs w:val="20"/>
      <w:lang w:eastAsia="pt-BR"/>
    </w:rPr>
  </w:style>
  <w:style w:type="paragraph" w:customStyle="1" w:styleId="Nivel010">
    <w:name w:val="Nivel_01"/>
    <w:basedOn w:val="Ttulo1"/>
    <w:qFormat/>
    <w:rsid w:val="002D2DC0"/>
    <w:p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iPriority w:val="99"/>
    <w:unhideWhenUsed/>
    <w:qFormat/>
    <w:rsid w:val="00820F6D"/>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qFormat/>
    <w:rsid w:val="003A417F"/>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paragraph" w:customStyle="1" w:styleId="PADRO">
    <w:name w:val="PADRÃO"/>
    <w:qFormat/>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paragraph" w:styleId="Recuodecorpodetexto">
    <w:name w:val="Body Text Indent"/>
    <w:basedOn w:val="Normal"/>
    <w:link w:val="RecuodecorpodetextoChar"/>
    <w:uiPriority w:val="99"/>
    <w:semiHidden/>
    <w:unhideWhenUsed/>
    <w:rsid w:val="00A40D34"/>
    <w:pPr>
      <w:spacing w:after="120"/>
      <w:ind w:left="283"/>
    </w:pPr>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paragraph" w:styleId="Textodebalo">
    <w:name w:val="Balloon Text"/>
    <w:basedOn w:val="Normal"/>
    <w:link w:val="TextodebaloChar"/>
    <w:uiPriority w:val="99"/>
    <w:semiHidden/>
    <w:unhideWhenUsed/>
    <w:qFormat/>
    <w:rsid w:val="00222E43"/>
    <w:pPr>
      <w:spacing w:after="0" w:line="240" w:lineRule="auto"/>
    </w:pPr>
    <w:rPr>
      <w:rFonts w:ascii="Tahoma" w:hAnsi="Tahoma" w:cs="Tahoma"/>
      <w:sz w:val="16"/>
      <w:szCs w:val="16"/>
    </w:rPr>
  </w:style>
  <w:style w:type="paragraph" w:customStyle="1" w:styleId="Cabealho1">
    <w:name w:val="Cabeçalho1"/>
    <w:basedOn w:val="Normal"/>
    <w:unhideWhenUsed/>
    <w:qFormat/>
    <w:rsid w:val="00A9666C"/>
    <w:pPr>
      <w:widowControl w:val="0"/>
      <w:tabs>
        <w:tab w:val="center" w:pos="4252"/>
        <w:tab w:val="right" w:pos="8504"/>
      </w:tab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pacing w:after="0" w:line="240" w:lineRule="auto"/>
    </w:pPr>
    <w:rPr>
      <w:rFonts w:ascii="Times New Roman" w:eastAsia="Times New Roman" w:hAnsi="Times New Roman" w:cs="Times New Roman"/>
      <w:lang w:val="pt-PT"/>
    </w:rPr>
  </w:style>
  <w:style w:type="paragraph" w:customStyle="1" w:styleId="Normal1">
    <w:name w:val="Normal1"/>
    <w:qFormat/>
    <w:rsid w:val="00391CA0"/>
    <w:pPr>
      <w:spacing w:after="160" w:line="259" w:lineRule="auto"/>
    </w:pPr>
    <w:rPr>
      <w:rFonts w:cs="Calibri"/>
      <w:lang w:eastAsia="pt-BR"/>
    </w:rPr>
  </w:style>
  <w:style w:type="paragraph" w:customStyle="1" w:styleId="TableParagraph">
    <w:name w:val="Table Paragraph"/>
    <w:basedOn w:val="Normal"/>
    <w:qFormat/>
    <w:rsid w:val="00001EA1"/>
    <w:pPr>
      <w:spacing w:before="2" w:after="0" w:line="240" w:lineRule="auto"/>
      <w:ind w:left="36"/>
    </w:pPr>
    <w:rPr>
      <w:rFonts w:ascii="Arial" w:eastAsia="Arial" w:hAnsi="Arial" w:cs="Arial"/>
      <w:kern w:val="2"/>
      <w:sz w:val="24"/>
      <w:szCs w:val="24"/>
      <w:lang w:val="pt-PT"/>
    </w:rPr>
  </w:style>
  <w:style w:type="paragraph" w:customStyle="1" w:styleId="LO-normal">
    <w:name w:val="LO-normal"/>
    <w:qFormat/>
    <w:rsid w:val="00880E16"/>
    <w:pPr>
      <w:spacing w:after="200" w:line="276" w:lineRule="auto"/>
      <w:jc w:val="both"/>
    </w:pPr>
    <w:rPr>
      <w:rFonts w:cs="Calibri"/>
      <w:lang w:eastAsia="zh-CN" w:bidi="hi-IN"/>
    </w:rPr>
  </w:style>
  <w:style w:type="paragraph" w:customStyle="1" w:styleId="Contedodoquadro">
    <w:name w:val="Conteúdo do quadro"/>
    <w:basedOn w:val="Normal"/>
    <w:qFormat/>
  </w:style>
  <w:style w:type="table" w:styleId="Tabelacomgrade">
    <w:name w:val="Table Grid"/>
    <w:basedOn w:val="Tabelanormal"/>
    <w:uiPriority w:val="59"/>
    <w:rsid w:val="00EF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AB72-0043-461B-8FB7-EC918685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3691</Words>
  <Characters>19936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Borges</dc:creator>
  <dc:description/>
  <cp:lastModifiedBy>Usuario</cp:lastModifiedBy>
  <cp:revision>2</cp:revision>
  <cp:lastPrinted>2022-10-24T14:42:00Z</cp:lastPrinted>
  <dcterms:created xsi:type="dcterms:W3CDTF">2023-06-28T12:48:00Z</dcterms:created>
  <dcterms:modified xsi:type="dcterms:W3CDTF">2023-06-28T12:48:00Z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