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1"/>
        <w:ind w:left="567" w:right="41" w:hanging="0"/>
        <w:rPr>
          <w:rFonts w:ascii="Arial" w:hAnsi="Arial" w:cs="Arial"/>
          <w:b/>
          <w:b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-154940</wp:posOffset>
            </wp:positionH>
            <wp:positionV relativeFrom="paragraph">
              <wp:posOffset>-69215</wp:posOffset>
            </wp:positionV>
            <wp:extent cx="933450" cy="828675"/>
            <wp:effectExtent l="0" t="0" r="0" b="0"/>
            <wp:wrapNone/>
            <wp:docPr id="1" name="Imagem 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 xml:space="preserve">          </w:t>
      </w:r>
      <w:r>
        <w:rPr>
          <w:rFonts w:cs="Arial" w:ascii="Arial" w:hAnsi="Arial"/>
          <w:b/>
        </w:rPr>
        <w:t>PREFEITURA MUNICIPAL DE ITABORAÍ</w:t>
        <w:br/>
        <w:t xml:space="preserve">           ESTADO DO RIO DE JANEIRO</w:t>
      </w:r>
    </w:p>
    <w:p>
      <w:pPr>
        <w:pStyle w:val="Cabealho1"/>
        <w:ind w:left="567" w:right="41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         </w:t>
      </w:r>
      <w:r>
        <w:rPr>
          <w:rFonts w:cs="Arial" w:ascii="Arial" w:hAnsi="Arial"/>
          <w:b/>
        </w:rPr>
        <w:t>Secretaria Municipal de Desenvolvimento Social</w:t>
      </w:r>
    </w:p>
    <w:p>
      <w:pPr>
        <w:pStyle w:val="Cabealho1"/>
        <w:ind w:left="567" w:right="41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Cabealho1"/>
        <w:ind w:left="567" w:right="41" w:hanging="0"/>
        <w:jc w:val="both"/>
        <w:rPr>
          <w:rFonts w:ascii="Arial" w:hAnsi="Arial" w:cs="Arial"/>
          <w:b/>
          <w:b/>
          <w:w w:val="105"/>
        </w:rPr>
      </w:pPr>
      <w:r>
        <w:rPr>
          <w:rFonts w:cs="Arial" w:ascii="Arial" w:hAnsi="Arial"/>
          <w:b/>
          <w:w w:val="105"/>
        </w:rPr>
      </w:r>
    </w:p>
    <w:p>
      <w:pPr>
        <w:pStyle w:val="Cabealho1"/>
        <w:ind w:left="-567" w:right="41" w:hanging="0"/>
        <w:jc w:val="center"/>
        <w:rPr>
          <w:rFonts w:ascii="Arial" w:hAnsi="Arial" w:cs="Arial"/>
          <w:b/>
          <w:b/>
          <w:w w:val="105"/>
        </w:rPr>
      </w:pPr>
      <w:r>
        <w:rPr>
          <w:rFonts w:cs="Arial" w:ascii="Arial" w:hAnsi="Arial"/>
          <w:b/>
          <w:w w:val="105"/>
        </w:rPr>
      </w:r>
    </w:p>
    <w:p>
      <w:pPr>
        <w:pStyle w:val="Normal"/>
        <w:spacing w:before="107" w:after="0"/>
        <w:ind w:left="-567" w:right="41" w:hanging="0"/>
        <w:jc w:val="center"/>
        <w:rPr>
          <w:rFonts w:ascii="Arial" w:hAnsi="Arial" w:cs="Arial"/>
          <w:b/>
          <w:b/>
          <w:w w:val="105"/>
        </w:rPr>
      </w:pPr>
      <w:r>
        <w:rPr>
          <w:rFonts w:cs="Arial" w:ascii="Arial" w:hAnsi="Arial"/>
          <w:b/>
          <w:w w:val="105"/>
        </w:rPr>
        <w:t>ANEXO II  - TERMO DE REFERÊNCIA</w:t>
      </w:r>
    </w:p>
    <w:p>
      <w:pPr>
        <w:pStyle w:val="Normal"/>
        <w:spacing w:before="107" w:after="0"/>
        <w:ind w:left="567" w:right="4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tulo11"/>
        <w:numPr>
          <w:ilvl w:val="0"/>
          <w:numId w:val="1"/>
        </w:numPr>
        <w:spacing w:lineRule="auto" w:line="360" w:before="0" w:after="0"/>
        <w:ind w:left="-491" w:right="41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w w:val="105"/>
          <w:sz w:val="22"/>
          <w:szCs w:val="22"/>
        </w:rPr>
        <w:t>OBJETO</w:t>
      </w:r>
    </w:p>
    <w:p>
      <w:pPr>
        <w:pStyle w:val="Ttulo11"/>
        <w:numPr>
          <w:ilvl w:val="1"/>
          <w:numId w:val="1"/>
        </w:numPr>
        <w:spacing w:lineRule="auto" w:line="360" w:before="0" w:after="0"/>
        <w:ind w:left="-851" w:right="41" w:hanging="0"/>
        <w:jc w:val="both"/>
        <w:rPr>
          <w:rFonts w:ascii="Arial" w:hAnsi="Arial" w:cs="Arial"/>
          <w:b w:val="false"/>
          <w:b w:val="false"/>
          <w:strike/>
          <w:color w:val="FF0000"/>
          <w:sz w:val="22"/>
          <w:szCs w:val="22"/>
        </w:rPr>
      </w:pPr>
      <w:r>
        <w:rPr>
          <w:rFonts w:cs="Arial" w:ascii="Arial" w:hAnsi="Arial"/>
          <w:b w:val="false"/>
          <w:spacing w:val="1"/>
        </w:rPr>
        <w:t>O presente Termo de Referência estabelece as especificações e as condições referentes a realização de certame licitatório pelo sistema de registro de preços p</w:t>
      </w:r>
      <w:bookmarkStart w:id="0" w:name="_GoBack"/>
      <w:bookmarkEnd w:id="0"/>
      <w:r>
        <w:rPr>
          <w:rFonts w:cs="Arial" w:ascii="Arial" w:hAnsi="Arial"/>
          <w:b w:val="false"/>
          <w:spacing w:val="1"/>
        </w:rPr>
        <w:t>ara a “</w:t>
      </w:r>
      <w:r>
        <w:rPr>
          <w:rFonts w:cs="Arial" w:ascii="Arial" w:hAnsi="Arial"/>
          <w:spacing w:val="1"/>
        </w:rPr>
        <w:t>Aquisição de absorvente, pente de plástico e esponja para banho</w:t>
      </w:r>
      <w:r>
        <w:rPr>
          <w:rFonts w:cs="Arial" w:ascii="Arial" w:hAnsi="Arial"/>
          <w:b w:val="false"/>
          <w:spacing w:val="1"/>
        </w:rPr>
        <w:t xml:space="preserve">”, destinados a atender a demanda das unidades vinculadas à Secretaria Municipal de Desenvolvimento Social e não adjudicados por meio do </w:t>
      </w:r>
      <w:r>
        <w:rPr>
          <w:rFonts w:eastAsia="Arial" w:cs="Arial" w:ascii="Arial" w:hAnsi="Arial"/>
          <w:b w:val="false"/>
          <w:spacing w:val="1"/>
        </w:rPr>
        <w:t>Processo nº 2301/2021 – Pregão nº 003/2022.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-851" w:leader="none"/>
        </w:tabs>
        <w:spacing w:lineRule="auto" w:line="360" w:before="95" w:after="0"/>
        <w:ind w:left="-491" w:right="41" w:hanging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ESPECIFICAÇÃO DOS ITENS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0" w:leader="none"/>
        </w:tabs>
        <w:spacing w:lineRule="auto" w:line="360" w:before="95" w:after="0"/>
        <w:ind w:left="-851" w:right="41" w:hanging="0"/>
        <w:rPr>
          <w:rFonts w:ascii="Arial" w:hAnsi="Arial" w:cs="Aria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6085840</wp:posOffset>
                </wp:positionH>
                <wp:positionV relativeFrom="paragraph">
                  <wp:posOffset>1308100</wp:posOffset>
                </wp:positionV>
                <wp:extent cx="269240" cy="325755"/>
                <wp:effectExtent l="0" t="0" r="18415" b="19050"/>
                <wp:wrapNone/>
                <wp:docPr id="2" name="Seta para a Esquerd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560" cy="325080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6" coordsize="21600,21600" o:spt="66" adj="10800,10800" path="m,10800l@3,l@3@5l21600@5l21600@6l@3@6l@3,21600xe">
                <v:stroke joinstyle="miter"/>
                <v:formulas>
                  <v:f eqn="val 21600"/>
                  <v:f eqn="val #1"/>
                  <v:f eqn="val #0"/>
                  <v:f eqn="sum 0 @2 0"/>
                  <v:f eqn="prod 1 @1 2"/>
                  <v:f eqn="sum 10800 0 @4"/>
                  <v:f eqn="sum 10800 @4 0"/>
                  <v:f eqn="prod @5 @2 10800"/>
                  <v:f eqn="sum @3 0 @7"/>
                </v:formulas>
                <v:path gradientshapeok="t" o:connecttype="rect" textboxrect="@8,@5,21600,@6"/>
                <v:handles>
                  <v:h position="21600,@5"/>
                  <v:h position="@3,0"/>
                </v:handles>
              </v:shapetype>
              <v:shape id="shape_0" ID="Seta para a Esquerda 3" fillcolor="#4f81bd" stroked="t" style="position:absolute;margin-left:479.2pt;margin-top:103pt;width:21.1pt;height:25.55pt" type="shapetype_66">
                <w10:wrap type="none"/>
                <v:fill o:detectmouseclick="t" type="solid" color2="#b07e42"/>
                <v:stroke color="#3a5f8b" weight="25560" joinstyle="round" endcap="flat"/>
              </v:shape>
            </w:pict>
          </mc:Fallback>
        </mc:AlternateContent>
      </w:r>
      <w:r>
        <w:rPr>
          <w:rFonts w:cs="Arial" w:ascii="Arial" w:hAnsi="Arial"/>
        </w:rPr>
        <w:t>Os itens a serem adquiridos, com as respectivas descrições e estimativa de quantitativos estão indicados na tabela a seguir:</w:t>
      </w:r>
    </w:p>
    <w:tbl>
      <w:tblPr>
        <w:tblW w:w="10349" w:type="dxa"/>
        <w:jc w:val="left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8"/>
        <w:gridCol w:w="6666"/>
        <w:gridCol w:w="1700"/>
        <w:gridCol w:w="1134"/>
      </w:tblGrid>
      <w:tr>
        <w:trPr>
          <w:trHeight w:val="334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05" w:leader="none"/>
              </w:tabs>
              <w:spacing w:lineRule="auto" w:line="276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ITEM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05" w:leader="none"/>
              </w:tabs>
              <w:spacing w:lineRule="auto" w:line="276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DESCRIÇÃO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05" w:leader="none"/>
              </w:tabs>
              <w:spacing w:lineRule="auto" w:line="276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UNID.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tabs>
                <w:tab w:val="clear" w:pos="720"/>
                <w:tab w:val="left" w:pos="3105" w:leader="none"/>
              </w:tabs>
              <w:spacing w:lineRule="auto" w:line="276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QUANT. </w:t>
            </w:r>
          </w:p>
        </w:tc>
      </w:tr>
      <w:tr>
        <w:trPr>
          <w:trHeight w:val="836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ABSORVENTE JUVENIL, TRIPLA PROTEÇÃO, COBERTURA SUAVE, COM ABAS, CAPSULAS DE GEL PARA CONTROLE DE ODOR, EXTRATO DE CAMOMILA E ALOE VERA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UND (TIRA)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3.000</w:t>
            </w:r>
          </w:p>
        </w:tc>
      </w:tr>
      <w:tr>
        <w:trPr>
          <w:trHeight w:val="706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PENTE DE PLÁSTICO DE NYLON ANTI ESTÁTICO, MEDINDO 22 CM, CORES VARIADAS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highlight w:val="yellow"/>
              </w:rPr>
              <w:t>EMBALAGEM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100</w:t>
            </w:r>
          </w:p>
        </w:tc>
      </w:tr>
      <w:tr>
        <w:trPr>
          <w:trHeight w:val="689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ESPONJA PARA BANHO DE POLIETILENO EPOLIESTIRENO. MEDINDO 21 CM. CORES VARIADAS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UND.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40</w:t>
            </w:r>
          </w:p>
        </w:tc>
      </w:tr>
    </w:tbl>
    <w:p>
      <w:pPr>
        <w:pStyle w:val="Normal"/>
        <w:ind w:right="41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istParagraph"/>
        <w:numPr>
          <w:ilvl w:val="1"/>
          <w:numId w:val="1"/>
        </w:numPr>
        <w:spacing w:lineRule="auto" w:line="360"/>
        <w:ind w:left="-851" w:right="41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Os quantitativos foram estimados de acordo com as demandas das unidades a serem atendidas, não supridas em razão da deserção dos itens acima, que integraram o processo administrativo 2301/2021- pregão presencial 003/2022.</w:t>
      </w:r>
    </w:p>
    <w:p>
      <w:pPr>
        <w:pStyle w:val="ListParagraph"/>
        <w:numPr>
          <w:ilvl w:val="1"/>
          <w:numId w:val="1"/>
        </w:numPr>
        <w:ind w:left="-851" w:right="41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O certame adotará como critério de seleção, o menor preço por item.</w:t>
      </w:r>
    </w:p>
    <w:p>
      <w:pPr>
        <w:pStyle w:val="Normal"/>
        <w:ind w:left="-851" w:right="41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tulo11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360" w:before="192" w:after="0"/>
        <w:ind w:left="-491" w:right="41" w:hanging="360"/>
        <w:jc w:val="both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 w:eastAsiaTheme="minorHAnsi"/>
          <w:color w:val="000000"/>
          <w:spacing w:val="-4"/>
          <w:w w:val="105"/>
          <w:sz w:val="22"/>
          <w:szCs w:val="22"/>
        </w:rPr>
        <w:t>JUSTIFICATIVA E OBJETIVO DA CONTRATAÇÃO</w:t>
      </w:r>
    </w:p>
    <w:p>
      <w:pPr>
        <w:pStyle w:val="Ttulo11"/>
        <w:numPr>
          <w:ilvl w:val="1"/>
          <w:numId w:val="1"/>
        </w:numPr>
        <w:tabs>
          <w:tab w:val="clear" w:pos="720"/>
          <w:tab w:val="left" w:pos="-851" w:leader="none"/>
        </w:tabs>
        <w:spacing w:lineRule="auto" w:line="360" w:before="192" w:after="0"/>
        <w:ind w:left="-851" w:right="41" w:hanging="0"/>
        <w:jc w:val="both"/>
        <w:rPr>
          <w:rFonts w:ascii="Arial" w:hAnsi="Arial" w:eastAsia="Calibri" w:cs="Arial" w:eastAsiaTheme="minorHAnsi"/>
          <w:b w:val="false"/>
          <w:b w:val="false"/>
          <w:bCs w:val="false"/>
          <w:strike/>
          <w:color w:val="FF0000"/>
          <w:sz w:val="22"/>
          <w:szCs w:val="22"/>
        </w:rPr>
      </w:pPr>
      <w:r>
        <w:rPr>
          <w:rFonts w:eastAsia="Calibri" w:cs="Arial" w:ascii="Arial" w:hAnsi="Arial" w:eastAsiaTheme="minorHAnsi"/>
          <w:b w:val="false"/>
          <w:bCs w:val="false"/>
          <w:color w:val="000000"/>
          <w:sz w:val="22"/>
          <w:szCs w:val="22"/>
          <w:lang w:val="pt-BR"/>
        </w:rPr>
        <w:t>A aquisição pretendida visa atender as necessidades dos Abrigos Institucionais da Criança e do Adolescente (AIDESP) e; do Instituto de Longa Permanência de Idosos (ILPI) em suas necessidades diárias em atendimento as normas legais.</w:t>
      </w:r>
    </w:p>
    <w:p>
      <w:pPr>
        <w:pStyle w:val="Ttulo11"/>
        <w:numPr>
          <w:ilvl w:val="0"/>
          <w:numId w:val="1"/>
        </w:numPr>
        <w:tabs>
          <w:tab w:val="clear" w:pos="720"/>
          <w:tab w:val="left" w:pos="415" w:leader="none"/>
        </w:tabs>
        <w:spacing w:lineRule="auto" w:line="360" w:before="192" w:after="0"/>
        <w:ind w:left="-491" w:right="41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CLASSIFICAÇÃO DOS BENS COMUNS</w:t>
      </w:r>
    </w:p>
    <w:p>
      <w:pPr>
        <w:pStyle w:val="ListParagraph"/>
        <w:numPr>
          <w:ilvl w:val="1"/>
          <w:numId w:val="1"/>
        </w:numPr>
        <w:spacing w:lineRule="auto" w:line="360" w:before="118" w:after="0"/>
        <w:ind w:left="-851" w:right="41" w:hanging="0"/>
        <w:rPr>
          <w:rFonts w:ascii="Arial" w:hAnsi="Arial" w:cs="Arial"/>
          <w:strike/>
          <w:color w:val="FF0000"/>
        </w:rPr>
      </w:pPr>
      <w:r>
        <w:rPr>
          <w:rFonts w:cs="Arial" w:ascii="Arial" w:hAnsi="Arial"/>
        </w:rPr>
        <w:t xml:space="preserve">Os bens que constituem o objeto deste Termo de Referência enquadram-se no conceito de bens comuns, nos termos do art. 1° da Lei 10.520/02, visto que são descritos de acordo com as especificações ususuais do mercado.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360" w:before="118" w:after="0"/>
        <w:ind w:left="-491" w:right="567" w:hanging="360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  <w:lang w:val="pt-BR"/>
        </w:rPr>
        <w:t>DA HABILITAÇÃO - QUALIFICAÇÃO TÉCNICA DOS LICITANTES</w:t>
      </w:r>
    </w:p>
    <w:p>
      <w:pPr>
        <w:pStyle w:val="ListParagraph"/>
        <w:numPr>
          <w:ilvl w:val="1"/>
          <w:numId w:val="1"/>
        </w:numPr>
        <w:spacing w:lineRule="auto" w:line="360" w:before="118" w:after="0"/>
        <w:ind w:left="-851" w:right="41" w:hanging="0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Cs/>
        </w:rPr>
        <w:t>Além das exigências habituais relacionadas à comprovação da habilitação econômico financeira e jurídica das licitantes, com o intuito de garantir a seleção de fornecedores aptos a efetivamente atender a demanda da Secretaria Municipal de Desenvolvimento Social, evitando-se o descumprimento da ata de registro de preço, deverão ser exigidos dos licitantes os seguintes documentos referentes à comprovação de sua qualificação técnica: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2" w:leader="none"/>
        </w:tabs>
        <w:spacing w:lineRule="auto" w:line="360" w:before="118" w:after="0"/>
        <w:ind w:left="-567" w:right="41" w:hanging="0"/>
        <w:rPr>
          <w:rFonts w:ascii="Arial" w:hAnsi="Arial" w:cs="Arial"/>
        </w:rPr>
      </w:pPr>
      <w:r>
        <w:rPr>
          <w:rFonts w:cs="Arial" w:ascii="Arial" w:hAnsi="Arial"/>
          <w:bCs/>
        </w:rPr>
        <w:t>Comprovação de aptidão para o fornecimento de bens em características, quantidades e prazos compatíveis com o objeto desta licitação. A comprovação deverá se dar por meio da apresentação de atestado(s) fornecido(s) por pessoas jurídicas de direito público ou privado, que demonstrem que o licitante já forneceu bem(ns) similar(es) aos descritos neste termo;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2" w:leader="none"/>
        </w:tabs>
        <w:spacing w:lineRule="auto" w:line="360" w:before="118" w:after="0"/>
        <w:ind w:left="-567" w:right="41" w:hanging="0"/>
        <w:rPr>
          <w:rFonts w:ascii="Arial" w:hAnsi="Arial" w:cs="Arial"/>
        </w:rPr>
      </w:pPr>
      <w:r>
        <w:rPr>
          <w:rFonts w:cs="Arial" w:ascii="Arial" w:hAnsi="Arial"/>
          <w:bCs/>
        </w:rPr>
        <w:t>Para fins da comprovação de que trata o item anterior, os atestados deverão dizer respeito a contratos executados e deverão ser emitidos em papel timbrado da pessoa jurídica de direito privado ou público emitente, CNPJ, endereço da pessoa jurídica contratante/órgão gerenciador, objeto fornecido, quantitativo contratado, valor do contrato/ata, número do processo ou procedimento licitatório ou do processo de contratação direta, número do contrato, prazo e local de execução do objeto, prazo de vigência do contrato, indicando ainda se a execução do objeto ocorreu de forma regular e satisfatória;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2" w:leader="none"/>
        </w:tabs>
        <w:spacing w:lineRule="auto" w:line="360" w:before="118" w:after="0"/>
        <w:ind w:left="-567" w:right="41" w:hanging="0"/>
        <w:rPr>
          <w:rFonts w:ascii="Arial" w:hAnsi="Arial" w:cs="Arial"/>
        </w:rPr>
      </w:pPr>
      <w:r>
        <w:rPr>
          <w:rFonts w:cs="Arial" w:ascii="Arial" w:hAnsi="Arial"/>
          <w:bCs/>
        </w:rPr>
        <w:t>Os atestados emitidos por pessoas jurídicas de direito público deverão ser firmados por servidor com a indicação do nome completo, cargo e matrícula;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2" w:leader="none"/>
        </w:tabs>
        <w:spacing w:lineRule="auto" w:line="360" w:before="118" w:after="0"/>
        <w:ind w:left="-567" w:right="41" w:hanging="0"/>
        <w:rPr>
          <w:rFonts w:ascii="Arial" w:hAnsi="Arial" w:cs="Arial"/>
        </w:rPr>
      </w:pPr>
      <w:r>
        <w:rPr>
          <w:rFonts w:cs="Arial" w:ascii="Arial" w:hAnsi="Arial"/>
          <w:bCs/>
        </w:rPr>
        <w:t>Os atestados emitidos por pessoa jurídica de direito privado deverão estar acompanhados de documentos que comprovem a aptidão do signatário para responder pela pessoa jurídica atestante;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2" w:leader="none"/>
        </w:tabs>
        <w:spacing w:lineRule="auto" w:line="360" w:before="118" w:after="0"/>
        <w:ind w:left="-567" w:right="41" w:hanging="0"/>
        <w:rPr>
          <w:rFonts w:ascii="Arial" w:hAnsi="Arial" w:cs="Arial"/>
        </w:rPr>
      </w:pPr>
      <w:r>
        <w:rPr>
          <w:rFonts w:cs="Arial" w:ascii="Arial" w:hAnsi="Arial"/>
          <w:bCs/>
        </w:rPr>
        <w:t>Os licitantes deverão disponibilizar todas as informações necessárias à comprovação da legitimidade dos atestados, caso solicitado pela Comissão de Licitações.</w:t>
      </w:r>
    </w:p>
    <w:p>
      <w:pPr>
        <w:pStyle w:val="ListParagraph"/>
        <w:numPr>
          <w:ilvl w:val="0"/>
          <w:numId w:val="1"/>
        </w:numPr>
        <w:spacing w:lineRule="auto" w:line="360" w:before="118" w:after="0"/>
        <w:ind w:left="-491" w:right="41" w:hanging="360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ENTREGA E CRITÉRIOS DE ACEITAÇÃO DO OBJETO</w:t>
      </w:r>
    </w:p>
    <w:p>
      <w:pPr>
        <w:pStyle w:val="ListParagraph"/>
        <w:numPr>
          <w:ilvl w:val="1"/>
          <w:numId w:val="1"/>
        </w:numPr>
        <w:spacing w:lineRule="auto" w:line="360" w:before="118" w:after="0"/>
        <w:ind w:left="-851" w:right="41" w:hanging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O prazo para entrega dos bens será de 15 (quinze) dias, contados do recebimento da ordem de fornecimento;</w:t>
      </w:r>
    </w:p>
    <w:p>
      <w:pPr>
        <w:pStyle w:val="ListParagraph"/>
        <w:numPr>
          <w:ilvl w:val="1"/>
          <w:numId w:val="1"/>
        </w:numPr>
        <w:spacing w:lineRule="auto" w:line="360" w:before="118" w:after="0"/>
        <w:ind w:left="-851" w:right="41" w:hanging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As solicitações de fornecimento serão encaminhadas de acordo com a necessidade dos abrigos institucionais, sendo emitido um empenho para cada solicitação/compra;</w:t>
      </w:r>
    </w:p>
    <w:p>
      <w:pPr>
        <w:pStyle w:val="ListParagraph"/>
        <w:numPr>
          <w:ilvl w:val="1"/>
          <w:numId w:val="1"/>
        </w:numPr>
        <w:spacing w:lineRule="auto" w:line="360" w:before="118" w:after="0"/>
        <w:ind w:left="-851" w:right="41" w:hanging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Os bens deverão ser entregues nas dependências do Almoxarifado Central, situado na Rua Dr. Pereira dos Santos, s/n, Centro, Itaboraí/RJ (Antigo Restaurante Popular), de segunda a sexta-feira, das 9 às 16 horas;</w:t>
      </w:r>
    </w:p>
    <w:p>
      <w:pPr>
        <w:pStyle w:val="ListParagraph"/>
        <w:numPr>
          <w:ilvl w:val="1"/>
          <w:numId w:val="1"/>
        </w:numPr>
        <w:spacing w:lineRule="auto" w:line="360" w:before="118" w:after="0"/>
        <w:ind w:left="-851" w:right="41" w:hanging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Os bens serão recebidos provisoriamente no prazo de 5 (cinco) dias contados da data da entrega, </w:t>
      </w:r>
      <w:r>
        <w:rPr>
          <w:rFonts w:cs="Arial" w:ascii="Arial" w:hAnsi="Arial"/>
          <w:bCs/>
          <w:color w:val="000000"/>
          <w:lang w:val="pt-BR"/>
        </w:rPr>
        <w:t xml:space="preserve">pelo (a) </w:t>
      </w:r>
      <w:r>
        <w:rPr>
          <w:rFonts w:cs="Arial" w:ascii="Arial" w:hAnsi="Arial"/>
          <w:bCs/>
          <w:iCs/>
          <w:color w:val="000000"/>
          <w:lang w:val="pt-BR"/>
        </w:rPr>
        <w:t>responsável</w:t>
      </w:r>
      <w:r>
        <w:rPr>
          <w:rFonts w:cs="Arial" w:ascii="Arial" w:hAnsi="Arial"/>
          <w:bCs/>
          <w:color w:val="000000"/>
          <w:lang w:val="pt-BR"/>
        </w:rPr>
        <w:t xml:space="preserve"> pelo acompanhamento e fiscalização da ata de registro de preços, para efeito de posterior verificação da conformidade dos bens com as especificações constantes neste Termo de Referência e na proposta;</w:t>
      </w:r>
    </w:p>
    <w:p>
      <w:pPr>
        <w:pStyle w:val="ListParagraph"/>
        <w:numPr>
          <w:ilvl w:val="1"/>
          <w:numId w:val="1"/>
        </w:numPr>
        <w:spacing w:lineRule="auto" w:line="360" w:before="118" w:after="0"/>
        <w:ind w:left="-851" w:right="41" w:hanging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  <w:lang w:val="pt-BR"/>
        </w:rPr>
        <w:t>O recebimento definitivo se dará em até 5 (cinco) dias úteis após o recebimento provisório, mediante termo circunstanciado;</w:t>
      </w:r>
    </w:p>
    <w:p>
      <w:pPr>
        <w:pStyle w:val="ListParagraph"/>
        <w:numPr>
          <w:ilvl w:val="1"/>
          <w:numId w:val="1"/>
        </w:numPr>
        <w:spacing w:lineRule="auto" w:line="360" w:before="118" w:after="0"/>
        <w:ind w:left="-851" w:right="41" w:hanging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  <w:lang w:val="pt-BR"/>
        </w:rPr>
        <w:t>O Órgão Gerenciador, por meio da fiscalização da execução das obrigações contratuais reserva-se ao direito de rejeitar, integralmente ou em parte, os itens que não atendam aos quantitativos ou às especificações do objeto licitado, devendo os mesmos serem substituídos no prazo de 5 (cinco) dias corridos, a contar da notificação do Fornecedor Registrado. As despesas decorrentes da substituição dos itens correrão por conta do Fornecedor Registrado, sem qualquer ônus para a Administração e sem prejuízo da aplicação das sanções incidentes às hipóteses de descumprimento do contrato/ata de registro de preços;</w:t>
      </w:r>
    </w:p>
    <w:p>
      <w:pPr>
        <w:pStyle w:val="ListParagraph"/>
        <w:numPr>
          <w:ilvl w:val="1"/>
          <w:numId w:val="1"/>
        </w:numPr>
        <w:spacing w:lineRule="auto" w:line="360" w:before="118" w:after="0"/>
        <w:ind w:left="-851" w:right="41" w:hanging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  <w:lang w:val="pt-BR"/>
        </w:rPr>
        <w:t>Os atrasos na entrega dos bens, ocasionados por motivos de força maior ou caso fortuito, desde que justificados em até 01 (um) dia útil antes do término do prazo de entrega, e aceitos pela Fiscalização, não serão considerados como inadimplemento contratual;</w:t>
      </w:r>
    </w:p>
    <w:p>
      <w:pPr>
        <w:pStyle w:val="ListParagraph"/>
        <w:numPr>
          <w:ilvl w:val="1"/>
          <w:numId w:val="1"/>
        </w:numPr>
        <w:spacing w:lineRule="auto" w:line="360" w:before="118" w:after="0"/>
        <w:ind w:left="-851" w:right="41" w:hanging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  <w:lang w:val="pt-BR"/>
        </w:rPr>
        <w:t>Os bens devem ser embalados adequadamente, evitando-se umidade, de forma que não sofram danos durante o transporte ou armazenamento;</w:t>
      </w:r>
    </w:p>
    <w:p>
      <w:pPr>
        <w:pStyle w:val="ListParagraph"/>
        <w:numPr>
          <w:ilvl w:val="1"/>
          <w:numId w:val="1"/>
        </w:numPr>
        <w:spacing w:lineRule="auto" w:line="360" w:before="118" w:after="0"/>
        <w:ind w:left="-851" w:right="41" w:hanging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  <w:lang w:val="pt-BR"/>
        </w:rPr>
        <w:t xml:space="preserve">Não serão aceitos bens fora das especificações técnicas e descrições </w:t>
      </w:r>
      <w:r>
        <w:rPr>
          <w:rFonts w:cs="Arial" w:ascii="Arial" w:hAnsi="Arial"/>
          <w:bCs/>
          <w:lang w:val="pt-BR"/>
        </w:rPr>
        <w:t xml:space="preserve">contidas neste Termo, assim como serão rejeitados </w:t>
      </w:r>
      <w:r>
        <w:rPr>
          <w:rFonts w:cs="Arial" w:ascii="Arial" w:hAnsi="Arial"/>
          <w:bCs/>
          <w:color w:val="000000"/>
          <w:lang w:val="pt-BR"/>
        </w:rPr>
        <w:t>bens danificados ou com aspectos físicos comprometidos;</w:t>
      </w:r>
    </w:p>
    <w:p>
      <w:pPr>
        <w:pStyle w:val="ListParagraph"/>
        <w:numPr>
          <w:ilvl w:val="1"/>
          <w:numId w:val="1"/>
        </w:numPr>
        <w:spacing w:lineRule="auto" w:line="360" w:before="118" w:after="0"/>
        <w:ind w:left="-851" w:right="41" w:hanging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  <w:lang w:val="pt-BR"/>
        </w:rPr>
        <w:t>Quaisquer exigências da fiscalização, inerentes aos produtos fornecidos, deverão ser prontamente atendidas pelo Fornecedor Registrado, sem ônus para o Órgão Gerenciador.</w:t>
      </w:r>
    </w:p>
    <w:p>
      <w:pPr>
        <w:pStyle w:val="Corpodotexto"/>
        <w:numPr>
          <w:ilvl w:val="0"/>
          <w:numId w:val="1"/>
        </w:numPr>
        <w:spacing w:lineRule="auto" w:line="360"/>
        <w:ind w:left="-491" w:right="41" w:hanging="36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DAS OBRIGAÇÕES DO ÓRGÃO GERENCIADOR</w:t>
      </w:r>
    </w:p>
    <w:p>
      <w:pPr>
        <w:pStyle w:val="Corpodotexto"/>
        <w:numPr>
          <w:ilvl w:val="1"/>
          <w:numId w:val="1"/>
        </w:numPr>
        <w:spacing w:lineRule="auto" w:line="360"/>
        <w:ind w:left="-851" w:right="4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São obrigações do ÓRGÃO GERENCIADOR: </w:t>
      </w:r>
    </w:p>
    <w:p>
      <w:pPr>
        <w:pStyle w:val="Corpodotexto"/>
        <w:numPr>
          <w:ilvl w:val="2"/>
          <w:numId w:val="1"/>
        </w:numPr>
        <w:spacing w:lineRule="auto" w:line="360"/>
        <w:ind w:left="-567" w:right="4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val="pt-BR"/>
        </w:rPr>
        <w:t>Receber o objeto no prazo e condições estabelecidas neste Termo de Referência e seus anexos;</w:t>
      </w:r>
    </w:p>
    <w:p>
      <w:pPr>
        <w:pStyle w:val="Corpodotexto"/>
        <w:numPr>
          <w:ilvl w:val="2"/>
          <w:numId w:val="1"/>
        </w:numPr>
        <w:spacing w:lineRule="auto" w:line="360"/>
        <w:ind w:left="-567" w:right="4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val="pt-BR"/>
        </w:rPr>
        <w:t>Verificar minuciosamente, no prazo fixado para o recebimento provisório, a conformidade dos itens recebidos com as especificações constantes neste Termo de Referência, e na proposta apresentada pela licitante no momento do certame, para fins de aceitação e recebimento definitivo;</w:t>
      </w:r>
    </w:p>
    <w:p>
      <w:pPr>
        <w:pStyle w:val="Corpodotexto"/>
        <w:numPr>
          <w:ilvl w:val="2"/>
          <w:numId w:val="1"/>
        </w:numPr>
        <w:spacing w:lineRule="auto" w:line="360"/>
        <w:ind w:left="-567" w:right="4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Comunicar ao Fornecedor Registrado por escrito, via e-mail ou outro canal disponibilizado ao Órgão Gerenciador sobre imperfeições, falhas ou irregularidades verificadas no objeto fornecido, para que seja substituído, reparado ou corrigido em até 5 (cinco) dias corridos da comunicação;</w:t>
      </w:r>
    </w:p>
    <w:p>
      <w:pPr>
        <w:pStyle w:val="Corpodotexto"/>
        <w:numPr>
          <w:ilvl w:val="2"/>
          <w:numId w:val="1"/>
        </w:numPr>
        <w:spacing w:lineRule="auto" w:line="360"/>
        <w:ind w:left="-567" w:right="4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val="pt-BR"/>
        </w:rPr>
        <w:t>Acompanhar e fiscalizar o cumprimento das obrigações pelo Fornecedor Registrado por intermédio de comissão/servidor especialmente designado;</w:t>
      </w:r>
    </w:p>
    <w:p>
      <w:pPr>
        <w:pStyle w:val="Corpodotexto"/>
        <w:numPr>
          <w:ilvl w:val="2"/>
          <w:numId w:val="1"/>
        </w:numPr>
        <w:spacing w:lineRule="auto" w:line="360"/>
        <w:ind w:left="-567" w:right="4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val="pt-BR"/>
        </w:rPr>
        <w:t>Efetuar o pagamento ao Fornecedor Registrado no valor correspondente aos itens efetivamente entregues, no prazo e forma estabelecidos neste Termo de Referência e seus anexos;</w:t>
      </w:r>
    </w:p>
    <w:p>
      <w:pPr>
        <w:pStyle w:val="Corpodotexto"/>
        <w:numPr>
          <w:ilvl w:val="1"/>
          <w:numId w:val="1"/>
        </w:numPr>
        <w:spacing w:lineRule="auto" w:line="360"/>
        <w:ind w:left="-851" w:right="4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val="pt-BR"/>
        </w:rPr>
        <w:t>A administração não responderá por quaisquer compromissos assumidos pelo Fornecedor Registrado com terceiros, ainda que vinculados à execução da Ata de Registro de Preços ou o contrato dela decorrente, bem como por qualquer dano causado a terceiros em decorrência de ato do Fornecedor Registrado de seus empregados, prepostos ou subordinados.</w:t>
      </w:r>
    </w:p>
    <w:p>
      <w:pPr>
        <w:pStyle w:val="Corpodotexto"/>
        <w:numPr>
          <w:ilvl w:val="1"/>
          <w:numId w:val="1"/>
        </w:numPr>
        <w:spacing w:lineRule="auto" w:line="360"/>
        <w:ind w:left="-851" w:right="4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val="pt-BR"/>
        </w:rPr>
        <w:t xml:space="preserve">O Município reserva-se ao direito de não atestar as faturas referentes aos produtos entregues caso os mesmos estejam em desacordo com as especificações constantes neste termo e na proposta do fornecedor registrado, podendo aplicar as penalidades e sanções previstas ou rescindir </w:t>
      </w:r>
      <w:r>
        <w:rPr>
          <w:rFonts w:cs="Arial" w:ascii="Arial" w:hAnsi="Arial"/>
          <w:sz w:val="22"/>
          <w:szCs w:val="22"/>
        </w:rPr>
        <w:t>a Ata de Registro de Preços.</w:t>
      </w:r>
    </w:p>
    <w:p>
      <w:pPr>
        <w:pStyle w:val="Corpodotexto"/>
        <w:numPr>
          <w:ilvl w:val="0"/>
          <w:numId w:val="1"/>
        </w:numPr>
        <w:spacing w:lineRule="auto" w:line="360"/>
        <w:ind w:left="-491" w:right="41" w:hanging="36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DAS OBRIGAÇÕES DO FORNECEDOR REGISTRADO</w:t>
      </w:r>
    </w:p>
    <w:p>
      <w:pPr>
        <w:pStyle w:val="Corpodotexto"/>
        <w:numPr>
          <w:ilvl w:val="1"/>
          <w:numId w:val="1"/>
        </w:numPr>
        <w:spacing w:lineRule="auto" w:line="360"/>
        <w:ind w:left="-851" w:right="41" w:hang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eastAsia="Arial" w:cs="Arial" w:ascii="Arial" w:hAnsi="Arial"/>
          <w:color w:val="000000" w:themeColor="text1"/>
          <w:sz w:val="22"/>
          <w:szCs w:val="22"/>
          <w:lang w:val="pt-BR"/>
        </w:rPr>
        <w:t>O Fornecedor Registrado deve cumprir todas as obrigações constantes neste Termo de Referência, na ARP e em sua proposta, assumindo como exclusivamente seus os riscos e as despesas decorrentes da boa e perfeita execução do objeto e, ainda:</w:t>
      </w:r>
    </w:p>
    <w:p>
      <w:pPr>
        <w:pStyle w:val="Corpodotexto"/>
        <w:numPr>
          <w:ilvl w:val="2"/>
          <w:numId w:val="1"/>
        </w:numPr>
        <w:spacing w:lineRule="auto" w:line="360"/>
        <w:ind w:left="-567" w:right="41" w:hang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eastAsia="Arial" w:cs="Arial" w:ascii="Arial" w:hAnsi="Arial"/>
          <w:color w:val="000000" w:themeColor="text1"/>
          <w:sz w:val="22"/>
          <w:szCs w:val="22"/>
        </w:rPr>
        <w:t>Efetuar a entrega dos itens de acordo com as solicitações encaminhadas pela Secretaria Gerenciadora e de acordo com as instruções contidas neste Termo, adequados às especificações</w:t>
      </w:r>
      <w:r>
        <w:rPr>
          <w:rFonts w:eastAsia="Arial" w:cs="Arial" w:ascii="Arial" w:hAnsi="Arial"/>
          <w:sz w:val="22"/>
          <w:szCs w:val="22"/>
        </w:rPr>
        <w:t xml:space="preserve"> e à sua proposta, </w:t>
      </w:r>
      <w:r>
        <w:rPr>
          <w:rFonts w:eastAsia="Arial" w:cs="Arial" w:ascii="Arial" w:hAnsi="Arial"/>
          <w:color w:val="000000" w:themeColor="text1"/>
          <w:sz w:val="22"/>
          <w:szCs w:val="22"/>
        </w:rPr>
        <w:t>no prazo e local indicados, acompanhado da respectiva nota fiscal;</w:t>
      </w:r>
    </w:p>
    <w:p>
      <w:pPr>
        <w:pStyle w:val="Corpodotexto"/>
        <w:numPr>
          <w:ilvl w:val="2"/>
          <w:numId w:val="1"/>
        </w:numPr>
        <w:spacing w:lineRule="auto" w:line="360"/>
        <w:ind w:left="-567" w:right="41" w:hang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eastAsia="Arial" w:cs="Arial" w:ascii="Arial" w:hAnsi="Arial"/>
          <w:color w:val="000000" w:themeColor="text1"/>
          <w:sz w:val="22"/>
          <w:szCs w:val="22"/>
          <w:lang w:val="pt-BR"/>
        </w:rPr>
        <w:t>Responsabilizar-se pelos vícios e danos decorrentes do objeto, de acordo com os artigos 13 e 17 a 27 da Lei Federal n.º 8.078, de 11 de setembro de 1990;</w:t>
      </w:r>
    </w:p>
    <w:p>
      <w:pPr>
        <w:pStyle w:val="Corpodotexto"/>
        <w:numPr>
          <w:ilvl w:val="2"/>
          <w:numId w:val="1"/>
        </w:numPr>
        <w:spacing w:lineRule="auto" w:line="360"/>
        <w:ind w:left="-567" w:right="41" w:hang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eastAsia="Arial" w:cs="Arial" w:ascii="Arial" w:hAnsi="Arial"/>
          <w:color w:val="000000" w:themeColor="text1"/>
          <w:sz w:val="22"/>
          <w:szCs w:val="22"/>
          <w:lang w:val="pt-BR"/>
        </w:rPr>
        <w:t>Comunicar ao Órgão Gerenciador, no prazo máximo 01 (um) dia que antecede a data da entrega, os motivos que impossibilitem o cumprimento do prazo previsto, com a devida comprovação;</w:t>
      </w:r>
    </w:p>
    <w:p>
      <w:pPr>
        <w:pStyle w:val="Corpodotexto"/>
        <w:numPr>
          <w:ilvl w:val="2"/>
          <w:numId w:val="1"/>
        </w:numPr>
        <w:spacing w:lineRule="auto" w:line="360"/>
        <w:ind w:left="-567" w:right="41" w:hang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eastAsia="Arial" w:cs="Arial" w:ascii="Arial" w:hAnsi="Arial"/>
          <w:color w:val="000000" w:themeColor="text1"/>
          <w:sz w:val="22"/>
          <w:szCs w:val="22"/>
        </w:rPr>
        <w:t xml:space="preserve">Prestar imediatamente as informações e os esclarecimentos que venham a ser solicitados pelo </w:t>
      </w:r>
      <w:r>
        <w:rPr>
          <w:rFonts w:eastAsia="Arial" w:cs="Arial" w:ascii="Arial" w:hAnsi="Arial"/>
          <w:color w:val="000000" w:themeColor="text1"/>
          <w:sz w:val="22"/>
          <w:szCs w:val="22"/>
          <w:lang w:val="pt-BR"/>
        </w:rPr>
        <w:t>Órgão Gerenciador,</w:t>
      </w:r>
      <w:r>
        <w:rPr>
          <w:rFonts w:eastAsia="Arial" w:cs="Arial" w:ascii="Arial" w:hAnsi="Arial"/>
          <w:color w:val="000000" w:themeColor="text1"/>
          <w:sz w:val="22"/>
          <w:szCs w:val="22"/>
        </w:rPr>
        <w:t xml:space="preserve"> salvo quando implicarem as indagações de caráter técnico, hipótese em que serão respondidas no prazo de 24 (vinte e quatro) horas;</w:t>
      </w:r>
    </w:p>
    <w:p>
      <w:pPr>
        <w:pStyle w:val="Corpodotexto"/>
        <w:numPr>
          <w:ilvl w:val="2"/>
          <w:numId w:val="1"/>
        </w:numPr>
        <w:spacing w:lineRule="auto" w:line="360"/>
        <w:ind w:left="-567" w:right="41" w:hang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eastAsia="Arial" w:cs="Arial" w:ascii="Arial" w:hAnsi="Arial"/>
          <w:color w:val="000000" w:themeColor="text1"/>
          <w:sz w:val="22"/>
          <w:szCs w:val="22"/>
          <w:lang w:val="pt-BR"/>
        </w:rPr>
        <w:t>Manter, durante toda a vigência da ARP, em compatibilidade com as obrigações assumidas, todas as condições de habilitação e qualificação exigidas neste Termo de Referência;</w:t>
      </w:r>
    </w:p>
    <w:p>
      <w:pPr>
        <w:pStyle w:val="Corpodotexto"/>
        <w:numPr>
          <w:ilvl w:val="2"/>
          <w:numId w:val="1"/>
        </w:numPr>
        <w:spacing w:lineRule="auto" w:line="360"/>
        <w:ind w:left="-567" w:right="41" w:hang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eastAsia="Arial" w:cs="Arial" w:ascii="Arial" w:hAnsi="Arial"/>
          <w:color w:val="000000" w:themeColor="text1"/>
          <w:sz w:val="22"/>
          <w:szCs w:val="22"/>
        </w:rPr>
        <w:t xml:space="preserve">Responder por todas as despesas diretas e indiretas que incidam ou venham a incidir sobre a execução da Ata de Registro de Preços tais como taxas, fretes, tributos, inclusive as obrigações relativas a salários, pagamentos de recursos humanos, Previdência Social, impostos, encargos sociais, transporte, indenizações, recolhimento de valores para órgãos de classe e outras providências, respondendo obrigatoriamente pelo fiel cumprimento das leis trabalhistas e específicas de acidente de trabalho e legislação correlata, aplicáveis ao pessoal empregado na execução contratual, ficando o </w:t>
      </w:r>
      <w:r>
        <w:rPr>
          <w:rFonts w:eastAsia="Arial" w:cs="Arial" w:ascii="Arial" w:hAnsi="Arial"/>
          <w:color w:val="000000" w:themeColor="text1"/>
          <w:sz w:val="22"/>
          <w:szCs w:val="22"/>
          <w:lang w:val="pt-BR"/>
        </w:rPr>
        <w:t>Órgão Gerenciador</w:t>
      </w:r>
      <w:r>
        <w:rPr>
          <w:rFonts w:eastAsia="Arial" w:cs="Arial" w:ascii="Arial" w:hAnsi="Arial"/>
          <w:color w:val="000000" w:themeColor="text1"/>
          <w:sz w:val="22"/>
          <w:szCs w:val="22"/>
        </w:rPr>
        <w:t xml:space="preserve"> isento de qualquer vínculo empregatício com os mesmos;</w:t>
      </w:r>
    </w:p>
    <w:p>
      <w:pPr>
        <w:pStyle w:val="Corpodotexto"/>
        <w:numPr>
          <w:ilvl w:val="2"/>
          <w:numId w:val="1"/>
        </w:numPr>
        <w:spacing w:lineRule="auto" w:line="360"/>
        <w:ind w:left="-567" w:right="41" w:hang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eastAsia="Arial" w:cs="Arial" w:ascii="Arial" w:hAnsi="Arial"/>
          <w:color w:val="000000" w:themeColor="text1"/>
          <w:sz w:val="22"/>
          <w:szCs w:val="22"/>
        </w:rPr>
        <w:t xml:space="preserve">Responsabilizar-se pelos danos causados diretamente ao </w:t>
      </w:r>
      <w:r>
        <w:rPr>
          <w:rFonts w:eastAsia="Arial" w:cs="Arial" w:ascii="Arial" w:hAnsi="Arial"/>
          <w:color w:val="000000" w:themeColor="text1"/>
          <w:sz w:val="22"/>
          <w:szCs w:val="22"/>
          <w:lang w:val="pt-BR"/>
        </w:rPr>
        <w:t>Órgão Gerenciador</w:t>
      </w:r>
      <w:r>
        <w:rPr>
          <w:rFonts w:eastAsia="Arial" w:cs="Arial" w:ascii="Arial" w:hAnsi="Arial"/>
          <w:color w:val="000000" w:themeColor="text1"/>
          <w:sz w:val="22"/>
          <w:szCs w:val="22"/>
        </w:rPr>
        <w:t xml:space="preserve"> ou a terceiros, decorrentes da sua culpa ou dolo quando da execução do objeto, independente dos procedimentos de fiscalização e acompanhamento da execução, e independente de outras cominações contratuais ou legais as quais estiver sujeita;</w:t>
      </w:r>
    </w:p>
    <w:p>
      <w:pPr>
        <w:pStyle w:val="Corpodotexto"/>
        <w:numPr>
          <w:ilvl w:val="2"/>
          <w:numId w:val="1"/>
        </w:numPr>
        <w:spacing w:lineRule="auto" w:line="360"/>
        <w:ind w:left="-567" w:right="41" w:hang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eastAsia="Arial" w:cs="Arial" w:ascii="Arial" w:hAnsi="Arial"/>
          <w:color w:val="000000" w:themeColor="text1"/>
          <w:sz w:val="22"/>
          <w:szCs w:val="22"/>
        </w:rPr>
        <w:t>Indicar preposto para representá-la durante a execução.</w:t>
      </w:r>
    </w:p>
    <w:p>
      <w:pPr>
        <w:pStyle w:val="Ttulo111"/>
        <w:numPr>
          <w:ilvl w:val="0"/>
          <w:numId w:val="1"/>
        </w:numPr>
        <w:tabs>
          <w:tab w:val="clear" w:pos="720"/>
          <w:tab w:val="left" w:pos="471" w:leader="none"/>
        </w:tabs>
        <w:spacing w:lineRule="auto" w:line="360" w:before="202" w:after="0"/>
        <w:ind w:left="-491" w:right="41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 SUBCONTRATAÇÃO</w:t>
      </w:r>
    </w:p>
    <w:p>
      <w:pPr>
        <w:pStyle w:val="ListParagraph"/>
        <w:numPr>
          <w:ilvl w:val="1"/>
          <w:numId w:val="1"/>
        </w:numPr>
        <w:spacing w:lineRule="auto" w:line="360" w:before="117" w:after="0"/>
        <w:ind w:left="-851" w:right="41" w:hanging="0"/>
        <w:rPr>
          <w:rFonts w:ascii="Arial" w:hAnsi="Arial" w:cs="Arial"/>
        </w:rPr>
      </w:pPr>
      <w:r>
        <w:rPr>
          <w:rFonts w:cs="Arial" w:ascii="Arial" w:hAnsi="Arial"/>
        </w:rPr>
        <w:t>Não será admitida a subcontratação.</w:t>
      </w:r>
    </w:p>
    <w:p>
      <w:pPr>
        <w:pStyle w:val="Ttulo111"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360"/>
        <w:ind w:left="-426" w:right="41" w:hanging="425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 ALTERAÇÃO SUBJETIVA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0" w:leader="none"/>
          <w:tab w:val="left" w:pos="426" w:leader="none"/>
          <w:tab w:val="left" w:pos="9781" w:leader="none"/>
        </w:tabs>
        <w:spacing w:lineRule="auto" w:line="360" w:before="118" w:after="0"/>
        <w:ind w:left="-851" w:right="41" w:hanging="0"/>
        <w:rPr>
          <w:rFonts w:ascii="Arial" w:hAnsi="Arial" w:cs="Arial"/>
        </w:rPr>
      </w:pPr>
      <w:r>
        <w:rPr>
          <w:rFonts w:cs="Arial" w:ascii="Arial" w:hAnsi="Arial"/>
          <w:lang w:val="pt-BR"/>
        </w:rPr>
        <w:t>É admissível a fusão, cisão ou incorporação do Fornecedor Registrado com/em outra pessoa jurídica, desde que sejam observados pela nova pessoa jurídica todos os requisitos de habilitação exigidos na licitação original; sejam mantidas as demais cláusulas e condições da ARP; não haja prejuízo à execução do objeto pactuado e haja a anuência expressa da Administração quanto à continuidade da ARP</w:t>
      </w:r>
      <w:r>
        <w:rPr>
          <w:rFonts w:cs="Arial" w:ascii="Arial" w:hAnsi="Arial"/>
        </w:rPr>
        <w:t>.</w:t>
      </w:r>
    </w:p>
    <w:p>
      <w:pPr>
        <w:pStyle w:val="Ttulo111"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360" w:before="202" w:after="0"/>
        <w:ind w:left="-426" w:right="41" w:hanging="425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CONTROLE E FISCALIZAÇÃO DA EXECUÇÃO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-851" w:leader="none"/>
        </w:tabs>
        <w:spacing w:lineRule="auto" w:line="360" w:before="117" w:after="0"/>
        <w:ind w:left="-851" w:right="41" w:hanging="0"/>
        <w:rPr>
          <w:rFonts w:ascii="Arial" w:hAnsi="Arial" w:cs="Arial"/>
        </w:rPr>
      </w:pPr>
      <w:r>
        <w:rPr>
          <w:rFonts w:cs="Arial" w:ascii="Arial" w:hAnsi="Arial"/>
          <w:lang w:val="pt-BR"/>
        </w:rPr>
        <w:t>Nos termos do artigo 67 da Lei Federal n.º 8.666, de 21 de janeiro de 1993, serão designados: a Comissão de Fiscalização do cumprimento das obrigações decorrentes da ARP; com a indicação de um servidor para acompanhar e fiscalizar a entrega dos itens, ao qual caberá anotarem registro próprio todas as ocorrências relacionadas com a execução e determinar o que for necessário à regularização de falhas ou defeitos observados;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-851" w:leader="none"/>
        </w:tabs>
        <w:spacing w:lineRule="auto" w:line="360" w:before="117" w:after="0"/>
        <w:ind w:left="-851" w:right="41" w:hanging="0"/>
        <w:rPr>
          <w:rFonts w:ascii="Arial" w:hAnsi="Arial" w:cs="Arial"/>
        </w:rPr>
      </w:pPr>
      <w:r>
        <w:rPr>
          <w:rFonts w:cs="Arial" w:ascii="Arial" w:hAnsi="Arial"/>
          <w:lang w:val="pt-BR"/>
        </w:rPr>
        <w:t xml:space="preserve">A fiscalização de que trata este item não exclui nem reduz a responsabilidade do </w:t>
      </w:r>
      <w:r>
        <w:rPr>
          <w:rFonts w:cs="Arial" w:ascii="Arial" w:hAnsi="Arial"/>
        </w:rPr>
        <w:t>Fornecedor Registado</w:t>
      </w:r>
      <w:r>
        <w:rPr>
          <w:rFonts w:cs="Arial" w:ascii="Arial" w:hAnsi="Arial"/>
          <w:lang w:val="pt-BR"/>
        </w:rPr>
        <w:t xml:space="preserve"> inclusive perante terceiros por qualquer irregularidade, ainda que resultante de imperfeições técnicas ou vícios redibitórios, e, na ocorrência desta, não implica em corresponsabilidade da Administração ou de seus agentes e prepostos, de conformidade com o art. 70 da Lei nº 8.666, de 1993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6" w:leader="none"/>
          <w:tab w:val="left" w:pos="718" w:leader="none"/>
        </w:tabs>
        <w:spacing w:lineRule="auto" w:line="360" w:before="118" w:after="0"/>
        <w:ind w:left="-491" w:right="41" w:hanging="360"/>
        <w:rPr>
          <w:rFonts w:ascii="Arial" w:hAnsi="Arial" w:cs="Arial"/>
        </w:rPr>
      </w:pPr>
      <w:r>
        <w:rPr>
          <w:rFonts w:cs="Arial" w:ascii="Arial" w:hAnsi="Arial"/>
          <w:b/>
        </w:rPr>
        <w:t>CRITÉRIOS E PRÁTICAS DE SUSTENTABILIDADE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-851" w:leader="none"/>
        </w:tabs>
        <w:spacing w:lineRule="auto" w:line="360" w:before="118" w:after="0"/>
        <w:ind w:left="-851" w:right="41" w:hanging="0"/>
        <w:rPr>
          <w:rFonts w:ascii="Arial" w:hAnsi="Arial" w:cs="Arial"/>
        </w:rPr>
      </w:pPr>
      <w:r>
        <w:rPr>
          <w:rFonts w:cs="Arial" w:ascii="Arial" w:hAnsi="Arial"/>
        </w:rPr>
        <w:t>É de extrema relevância que o fornecedor registrado observe as diretrizes de sustentabilidade ambiental diretamente ligadas à execução da Ata de Registro de Preços;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-851" w:leader="none"/>
        </w:tabs>
        <w:spacing w:lineRule="auto" w:line="360" w:before="118" w:after="0"/>
        <w:ind w:left="-851" w:right="41" w:hanging="0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O Fornecedor Registrado deve atender, quando couber, à promoção do desenvolvimento nacional sustentável no cumprimento de diretrizes e critérios de sustentabilidade ambiental, de acordo com art. 255 da Constituição Federal/88, e em conformidade com art. da lei 8.666/93 e conforme orientações do Cap. III - DOS BENS E SERVIÇOS - art. 5° da IN n°01/2010 (Compras Sustentáveis).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6" w:leader="none"/>
          <w:tab w:val="left" w:pos="718" w:leader="none"/>
        </w:tabs>
        <w:spacing w:lineRule="auto" w:line="360" w:before="118" w:after="0"/>
        <w:ind w:left="-491" w:right="41" w:hanging="360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DO PAGAMENTO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-851" w:leader="none"/>
        </w:tabs>
        <w:spacing w:lineRule="auto" w:line="360" w:before="118" w:after="0"/>
        <w:ind w:left="-851" w:right="41" w:hanging="0"/>
        <w:rPr>
          <w:rFonts w:ascii="Arial" w:hAnsi="Arial" w:cs="Arial"/>
        </w:rPr>
      </w:pPr>
      <w:r>
        <w:rPr>
          <w:rFonts w:cs="Arial" w:ascii="Arial" w:hAnsi="Arial"/>
          <w:lang w:val="pt-BR"/>
        </w:rPr>
        <w:t xml:space="preserve">O pagamento será realizado no prazo máximo de até 30 (trinta) dias corridos, após o adimplemento da obrigação, mediante a apresentação, perante o protocolo da Administração Municipal, de requerimento instruído com a cópia da nota fiscal devidamente atestada, além das certidões de regularidade fiscal, tributária, trabalhista e previdenciária da </w:t>
      </w:r>
      <w:r>
        <w:rPr>
          <w:rFonts w:cs="Arial" w:ascii="Arial" w:hAnsi="Arial"/>
        </w:rPr>
        <w:t>Fornecedora Registrada;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-851" w:leader="none"/>
        </w:tabs>
        <w:spacing w:lineRule="auto" w:line="360" w:before="118" w:after="0"/>
        <w:ind w:left="-851" w:right="41" w:hanging="0"/>
        <w:rPr>
          <w:rFonts w:ascii="Arial" w:hAnsi="Arial" w:cs="Arial"/>
        </w:rPr>
      </w:pPr>
      <w:r>
        <w:rPr>
          <w:rFonts w:cs="Arial" w:ascii="Arial" w:hAnsi="Arial"/>
          <w:lang w:val="pt-BR"/>
        </w:rPr>
        <w:t>Considera-se ocorrido o recebimento da nota fiscal ou fatura no momento em que a fiscalização manifestar seu atesto;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-851" w:leader="none"/>
        </w:tabs>
        <w:spacing w:lineRule="auto" w:line="360" w:before="118" w:after="0"/>
        <w:ind w:left="-851" w:right="41" w:hanging="0"/>
        <w:rPr>
          <w:rFonts w:ascii="Arial" w:hAnsi="Arial" w:cs="Arial"/>
        </w:rPr>
      </w:pPr>
      <w:r>
        <w:rPr>
          <w:rFonts w:cs="Arial" w:ascii="Arial" w:hAnsi="Arial"/>
          <w:lang w:val="pt-BR"/>
        </w:rPr>
        <w:t xml:space="preserve">Havendo erro na apresentação da Nota Fiscal ou dos documentos pertinentes à contratação ou ainda, circunstância que impeça a liquidação da despesa como, por exemplo, obrigação financeira pendente decorrente de penalidade imposta ou inadimplência, o pagamento ficará sobrestado até que a </w:t>
      </w:r>
      <w:r>
        <w:rPr>
          <w:rFonts w:cs="Arial" w:ascii="Arial" w:hAnsi="Arial"/>
        </w:rPr>
        <w:t>Fornecedora Registrada</w:t>
      </w:r>
      <w:r>
        <w:rPr>
          <w:rFonts w:cs="Arial" w:ascii="Arial" w:hAnsi="Arial"/>
          <w:lang w:val="pt-BR"/>
        </w:rPr>
        <w:t xml:space="preserve"> providencie as medidas saneadoras. Nesta hipótese, o prazo para pagamento iniciar-se-á após a comprovação da regularização da situação, não acarretando qualquer ônus para o Órgão Gerenciador;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-851" w:leader="none"/>
        </w:tabs>
        <w:spacing w:lineRule="auto" w:line="360" w:before="118" w:after="0"/>
        <w:ind w:left="-851" w:right="41" w:hanging="0"/>
        <w:rPr>
          <w:rFonts w:ascii="Arial" w:hAnsi="Arial" w:cs="Arial"/>
        </w:rPr>
      </w:pPr>
      <w:r>
        <w:rPr>
          <w:rFonts w:cs="Arial" w:ascii="Arial" w:hAnsi="Arial"/>
          <w:lang w:val="pt-BR"/>
        </w:rPr>
        <w:t xml:space="preserve">Será considerada data do pagamento o dia em que constar como emitida a ordem bancária em favor da </w:t>
      </w:r>
      <w:r>
        <w:rPr>
          <w:rFonts w:cs="Arial" w:ascii="Arial" w:hAnsi="Arial"/>
        </w:rPr>
        <w:t>Fornecedora Registrada;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-851" w:leader="none"/>
        </w:tabs>
        <w:spacing w:lineRule="auto" w:line="360" w:before="118" w:after="0"/>
        <w:ind w:left="-851" w:right="41" w:hanging="0"/>
        <w:rPr>
          <w:rFonts w:ascii="Arial" w:hAnsi="Arial" w:cs="Arial"/>
        </w:rPr>
      </w:pPr>
      <w:r>
        <w:rPr>
          <w:rFonts w:cs="Arial" w:ascii="Arial" w:hAnsi="Arial"/>
          <w:lang w:val="pt-BR"/>
        </w:rPr>
        <w:t>Quando do pagamento, será efetuada a retenção tributária prevista na legislação aplicável;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-851" w:leader="none"/>
        </w:tabs>
        <w:spacing w:lineRule="auto" w:line="360" w:before="118" w:after="0"/>
        <w:ind w:left="-851" w:right="41" w:hanging="0"/>
        <w:rPr>
          <w:rFonts w:ascii="Arial" w:hAnsi="Arial" w:cs="Arial"/>
        </w:rPr>
      </w:pPr>
      <w:r>
        <w:rPr>
          <w:rFonts w:cs="Arial" w:ascii="Arial" w:hAnsi="Arial"/>
          <w:lang w:val="pt-BR"/>
        </w:rPr>
        <w:t>A Fornecedora Registrada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diferenciado previsto na referida Lei Complementar;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-851" w:leader="none"/>
        </w:tabs>
        <w:spacing w:lineRule="auto" w:line="360" w:before="118" w:after="0"/>
        <w:ind w:left="-851" w:right="41" w:hanging="0"/>
        <w:rPr>
          <w:rFonts w:ascii="Arial" w:hAnsi="Arial" w:cs="Arial"/>
        </w:rPr>
      </w:pPr>
      <w:r>
        <w:rPr>
          <w:rFonts w:cs="Arial" w:ascii="Arial" w:hAnsi="Arial"/>
          <w:lang w:val="pt-BR"/>
        </w:rPr>
        <w:t>Nos casos de eventuais atrasos de pagamento, desde que a</w:t>
      </w:r>
      <w:r>
        <w:rPr>
          <w:rFonts w:cs="Arial" w:ascii="Arial" w:hAnsi="Arial"/>
        </w:rPr>
        <w:t xml:space="preserve"> Fornecedora Registrada</w:t>
      </w:r>
      <w:r>
        <w:rPr>
          <w:rFonts w:cs="Arial" w:ascii="Arial" w:hAnsi="Arial"/>
          <w:lang w:val="pt-BR"/>
        </w:rPr>
        <w:t xml:space="preserve"> não tenha concorrido, de alguma forma, para tanto, fica convencionado que a taxa de compensação financeira devida pelo órgão gerenciador, entre a data do vencimento e o efetivo adimplemento da parcela, é calculada mediante a aplicação da seguinte fórmula;</w:t>
      </w:r>
    </w:p>
    <w:p>
      <w:pPr>
        <w:pStyle w:val="Normal"/>
        <w:tabs>
          <w:tab w:val="clear" w:pos="720"/>
          <w:tab w:val="left" w:pos="1701" w:leader="none"/>
        </w:tabs>
        <w:spacing w:lineRule="auto" w:line="360" w:before="120" w:after="120"/>
        <w:ind w:left="-142" w:hanging="0"/>
        <w:jc w:val="both"/>
        <w:rPr>
          <w:color w:val="000000"/>
        </w:rPr>
      </w:pPr>
      <w:r>
        <w:rPr>
          <w:rFonts w:cs="Arial" w:ascii="Arial" w:hAnsi="Arial"/>
          <w:color w:val="000000"/>
        </w:rPr>
        <w:t>EM = I x N x VP, sendo:</w:t>
      </w:r>
    </w:p>
    <w:p>
      <w:pPr>
        <w:pStyle w:val="Normal"/>
        <w:tabs>
          <w:tab w:val="clear" w:pos="720"/>
          <w:tab w:val="left" w:pos="1701" w:leader="none"/>
        </w:tabs>
        <w:spacing w:lineRule="auto" w:line="360" w:before="120" w:after="120"/>
        <w:ind w:left="-142" w:hanging="0"/>
        <w:jc w:val="both"/>
        <w:rPr>
          <w:color w:val="000000"/>
        </w:rPr>
      </w:pPr>
      <w:r>
        <w:rPr>
          <w:rFonts w:cs="Arial" w:ascii="Arial" w:hAnsi="Arial"/>
          <w:color w:val="000000"/>
        </w:rPr>
        <w:t>EM = Encargos moratórios;</w:t>
      </w:r>
    </w:p>
    <w:p>
      <w:pPr>
        <w:pStyle w:val="Normal"/>
        <w:tabs>
          <w:tab w:val="clear" w:pos="720"/>
          <w:tab w:val="left" w:pos="1701" w:leader="none"/>
        </w:tabs>
        <w:spacing w:lineRule="auto" w:line="360" w:before="120" w:after="120"/>
        <w:ind w:left="-142" w:hanging="0"/>
        <w:jc w:val="both"/>
        <w:rPr>
          <w:color w:val="000000"/>
        </w:rPr>
      </w:pPr>
      <w:r>
        <w:rPr>
          <w:rFonts w:cs="Arial" w:ascii="Arial" w:hAnsi="Arial"/>
          <w:color w:val="000000"/>
        </w:rPr>
        <w:t>N = Número de dias entre a data prevista para o pagamento e a do efetivo pagamento;</w:t>
      </w:r>
    </w:p>
    <w:p>
      <w:pPr>
        <w:pStyle w:val="Normal"/>
        <w:tabs>
          <w:tab w:val="clear" w:pos="720"/>
          <w:tab w:val="left" w:pos="1701" w:leader="none"/>
        </w:tabs>
        <w:spacing w:lineRule="auto" w:line="360" w:before="120" w:after="120"/>
        <w:ind w:left="-142" w:hanging="0"/>
        <w:jc w:val="both"/>
        <w:rPr>
          <w:color w:val="000000"/>
        </w:rPr>
      </w:pPr>
      <w:r>
        <w:rPr>
          <w:rFonts w:cs="Arial" w:ascii="Arial" w:hAnsi="Arial"/>
          <w:color w:val="000000"/>
        </w:rPr>
        <w:t>VP = Valor da parcela a ser paga.</w:t>
      </w:r>
    </w:p>
    <w:p>
      <w:pPr>
        <w:pStyle w:val="Normal"/>
        <w:tabs>
          <w:tab w:val="clear" w:pos="720"/>
          <w:tab w:val="left" w:pos="1701" w:leader="none"/>
        </w:tabs>
        <w:spacing w:lineRule="auto" w:line="360" w:before="120" w:after="120"/>
        <w:ind w:left="-142" w:hanging="0"/>
        <w:jc w:val="both"/>
        <w:rPr>
          <w:color w:val="000000"/>
        </w:rPr>
      </w:pPr>
      <w:r>
        <w:rPr>
          <w:rFonts w:cs="Arial" w:ascii="Arial" w:hAnsi="Arial"/>
          <w:color w:val="000000"/>
        </w:rPr>
        <w:t>I = Índice de compensação financeira = 0,00016438, assim apurado:</w:t>
      </w:r>
    </w:p>
    <w:tbl>
      <w:tblPr>
        <w:tblW w:w="48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24"/>
        <w:gridCol w:w="685"/>
        <w:gridCol w:w="1469"/>
        <w:gridCol w:w="4564"/>
      </w:tblGrid>
      <w:tr>
        <w:trPr/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spacing w:lineRule="auto" w:line="360" w:before="12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eastAsia="MS Mincho" w:cs="Arial" w:ascii="Arial" w:hAnsi="Arial"/>
                <w:color w:val="000000"/>
              </w:rPr>
              <w:t>I = (TX)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spacing w:lineRule="auto" w:line="360" w:before="12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eastAsia="MS Mincho" w:cs="Arial" w:ascii="Arial" w:hAnsi="Arial"/>
                <w:color w:val="000000"/>
              </w:rPr>
              <w:t>I =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spacing w:lineRule="auto" w:line="360" w:before="120" w:after="120"/>
              <w:jc w:val="both"/>
              <w:rPr>
                <w:rFonts w:ascii="Arial" w:hAnsi="Arial" w:eastAsia="MS Mincho" w:cs="Arial"/>
                <w:color w:val="000000"/>
                <w:u w:val="single"/>
              </w:rPr>
            </w:pPr>
            <w:r>
              <w:rPr>
                <w:rFonts w:eastAsia="MS Mincho" w:cs="Arial" w:ascii="Arial" w:hAnsi="Arial"/>
                <w:color w:val="000000"/>
                <w:u w:val="single"/>
              </w:rPr>
              <w:t>( 6 / 100 )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spacing w:lineRule="auto" w:line="360" w:before="12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eastAsia="MS Mincho" w:cs="Arial" w:ascii="Arial" w:hAnsi="Arial"/>
                <w:color w:val="000000"/>
              </w:rPr>
              <w:t xml:space="preserve">     </w:t>
            </w:r>
            <w:r>
              <w:rPr>
                <w:rFonts w:eastAsia="MS Mincho" w:cs="Arial" w:ascii="Arial" w:hAnsi="Arial"/>
                <w:color w:val="000000"/>
              </w:rPr>
              <w:t>365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spacing w:lineRule="auto" w:line="360" w:before="120" w:after="120"/>
              <w:ind w:left="742" w:hang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eastAsia="MS Mincho" w:cs="Arial" w:ascii="Arial" w:hAnsi="Arial"/>
                <w:color w:val="000000"/>
              </w:rPr>
              <w:t>I = 0,00016438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spacing w:lineRule="auto" w:line="360" w:before="120" w:after="120"/>
              <w:ind w:left="742" w:hang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eastAsia="MS Mincho" w:cs="Arial" w:ascii="Arial" w:hAnsi="Arial"/>
                <w:color w:val="000000"/>
              </w:rPr>
              <w:t>TX = Percentual da taxa anual = 6%</w:t>
            </w:r>
          </w:p>
        </w:tc>
      </w:tr>
    </w:tbl>
    <w:p>
      <w:pPr>
        <w:pStyle w:val="ListParagraph"/>
        <w:tabs>
          <w:tab w:val="clear" w:pos="720"/>
          <w:tab w:val="left" w:pos="-851" w:leader="none"/>
        </w:tabs>
        <w:spacing w:lineRule="auto" w:line="360" w:before="118" w:after="0"/>
        <w:ind w:left="-851" w:right="41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18" w:leader="none"/>
        </w:tabs>
        <w:spacing w:lineRule="auto" w:line="360" w:before="118" w:after="0"/>
        <w:ind w:left="-491" w:right="41" w:hanging="360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DA ANTECIPAÇÃO DO PAGAMENTO</w:t>
      </w:r>
    </w:p>
    <w:p>
      <w:pPr>
        <w:pStyle w:val="ListParagraph"/>
        <w:numPr>
          <w:ilvl w:val="1"/>
          <w:numId w:val="1"/>
        </w:numPr>
        <w:spacing w:lineRule="auto" w:line="360" w:before="118" w:after="0"/>
        <w:ind w:left="-851" w:right="41" w:hanging="0"/>
        <w:rPr>
          <w:rFonts w:ascii="Arial" w:hAnsi="Arial" w:cs="Arial"/>
        </w:rPr>
      </w:pPr>
      <w:r>
        <w:rPr>
          <w:rFonts w:cs="Arial" w:ascii="Arial" w:hAnsi="Arial"/>
        </w:rPr>
        <w:t>Não se aplica ao processo de aquisição.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18" w:leader="none"/>
        </w:tabs>
        <w:spacing w:lineRule="auto" w:line="360" w:before="118" w:after="0"/>
        <w:ind w:left="-491" w:right="41" w:hanging="360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DO REAJUSTE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67" w:leader="none"/>
          <w:tab w:val="left" w:pos="709" w:leader="none"/>
          <w:tab w:val="left" w:pos="9923" w:leader="none"/>
        </w:tabs>
        <w:spacing w:lineRule="auto" w:line="360" w:before="73" w:after="0"/>
        <w:ind w:left="-131" w:right="41" w:hanging="720"/>
        <w:rPr>
          <w:rFonts w:ascii="Arial" w:hAnsi="Arial" w:cs="Arial"/>
        </w:rPr>
      </w:pPr>
      <w:r>
        <w:rPr>
          <w:rFonts w:cs="Arial" w:ascii="Arial" w:hAnsi="Arial"/>
        </w:rPr>
        <w:t>Os preços são fixos e irreajustáveis durante a vigência da Ata de Registro de Preços.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709" w:leader="none"/>
          <w:tab w:val="left" w:pos="769" w:leader="none"/>
          <w:tab w:val="left" w:pos="9923" w:leader="none"/>
        </w:tabs>
        <w:spacing w:lineRule="auto" w:line="360" w:before="118" w:after="0"/>
        <w:ind w:left="-491" w:right="41" w:hanging="360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DAS SANÇÕES ADMINISTRATIVAS</w:t>
      </w:r>
    </w:p>
    <w:p>
      <w:pPr>
        <w:pStyle w:val="ListParagraph"/>
        <w:numPr>
          <w:ilvl w:val="1"/>
          <w:numId w:val="1"/>
        </w:numPr>
        <w:spacing w:lineRule="auto" w:line="360" w:before="118" w:after="0"/>
        <w:ind w:left="-851" w:right="41" w:hanging="0"/>
        <w:rPr>
          <w:rFonts w:ascii="Arial" w:hAnsi="Arial" w:cs="Arial"/>
        </w:rPr>
      </w:pPr>
      <w:r>
        <w:rPr>
          <w:rFonts w:cs="Arial" w:ascii="Arial" w:hAnsi="Arial"/>
        </w:rPr>
        <w:t>Comete infração administrativa, o Fornecedor Registrado que: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-567" w:leader="none"/>
          <w:tab w:val="left" w:pos="709" w:leader="none"/>
          <w:tab w:val="left" w:pos="941" w:leader="none"/>
        </w:tabs>
        <w:spacing w:lineRule="auto" w:line="360" w:before="118" w:after="0"/>
        <w:ind w:left="-567" w:right="41" w:hanging="0"/>
        <w:rPr>
          <w:rFonts w:ascii="Arial" w:hAnsi="Arial" w:cs="Arial"/>
        </w:rPr>
      </w:pPr>
      <w:r>
        <w:rPr>
          <w:rFonts w:cs="Arial" w:ascii="Arial" w:hAnsi="Arial"/>
        </w:rPr>
        <w:t>inexecutar total ou parcialmente qualquer das obrigações assumidas em decorrência da contratação;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-567" w:leader="none"/>
        </w:tabs>
        <w:spacing w:lineRule="auto" w:line="360" w:before="118" w:after="0"/>
        <w:ind w:left="-567" w:right="41" w:hanging="0"/>
        <w:rPr>
          <w:rFonts w:ascii="Arial" w:hAnsi="Arial" w:cs="Arial"/>
        </w:rPr>
      </w:pPr>
      <w:r>
        <w:rPr>
          <w:rFonts w:cs="Arial" w:ascii="Arial" w:hAnsi="Arial"/>
        </w:rPr>
        <w:t>ensejar o retardamento da execução do objeto;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-567" w:leader="none"/>
        </w:tabs>
        <w:spacing w:lineRule="auto" w:line="360" w:before="117" w:after="0"/>
        <w:ind w:left="-567" w:right="41" w:hanging="0"/>
        <w:rPr>
          <w:rFonts w:ascii="Arial" w:hAnsi="Arial" w:cs="Arial"/>
        </w:rPr>
      </w:pPr>
      <w:r>
        <w:rPr>
          <w:rFonts w:cs="Arial" w:ascii="Arial" w:hAnsi="Arial"/>
        </w:rPr>
        <w:t>falhar ou fraudar na execução da ARP;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-567" w:leader="none"/>
        </w:tabs>
        <w:spacing w:lineRule="auto" w:line="360" w:before="118" w:after="0"/>
        <w:ind w:left="-567" w:right="41" w:hanging="0"/>
        <w:rPr>
          <w:rFonts w:ascii="Arial" w:hAnsi="Arial" w:cs="Arial"/>
        </w:rPr>
      </w:pPr>
      <w:r>
        <w:rPr>
          <w:rFonts w:cs="Arial" w:ascii="Arial" w:hAnsi="Arial"/>
        </w:rPr>
        <w:t>comportar-se de modo inidôneo;e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-567" w:leader="none"/>
        </w:tabs>
        <w:spacing w:lineRule="auto" w:line="360" w:before="118" w:after="0"/>
        <w:ind w:left="-567" w:right="41" w:hanging="0"/>
        <w:rPr>
          <w:rFonts w:ascii="Arial" w:hAnsi="Arial" w:cs="Arial"/>
        </w:rPr>
      </w:pPr>
      <w:r>
        <w:rPr>
          <w:rFonts w:cs="Arial" w:ascii="Arial" w:hAnsi="Arial"/>
        </w:rPr>
        <w:t>cometer fraude fiscal;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-851" w:leader="none"/>
        </w:tabs>
        <w:spacing w:lineRule="auto" w:line="360" w:before="118" w:after="0"/>
        <w:ind w:left="-851" w:right="41" w:hanging="0"/>
        <w:rPr>
          <w:rFonts w:ascii="Arial" w:hAnsi="Arial" w:cs="Arial"/>
        </w:rPr>
      </w:pPr>
      <w:r>
        <w:rPr>
          <w:rFonts w:cs="Arial" w:ascii="Arial" w:hAnsi="Arial"/>
          <w:lang w:val="pt-BR"/>
        </w:rPr>
        <w:t xml:space="preserve">Pela inexecução </w:t>
      </w:r>
      <w:r>
        <w:rPr>
          <w:rFonts w:cs="Arial" w:ascii="Arial" w:hAnsi="Arial"/>
          <w:u w:val="single"/>
          <w:lang w:val="pt-BR"/>
        </w:rPr>
        <w:t xml:space="preserve">total ou </w:t>
      </w:r>
      <w:r>
        <w:rPr>
          <w:rFonts w:cs="Arial" w:ascii="Arial" w:hAnsi="Arial"/>
          <w:lang w:val="pt-BR"/>
        </w:rPr>
        <w:t>p</w:t>
      </w:r>
      <w:r>
        <w:rPr>
          <w:rFonts w:cs="Arial" w:ascii="Arial" w:hAnsi="Arial"/>
          <w:u w:val="single"/>
          <w:lang w:val="pt-BR"/>
        </w:rPr>
        <w:t xml:space="preserve">arcial </w:t>
      </w:r>
      <w:r>
        <w:rPr>
          <w:rFonts w:cs="Arial" w:ascii="Arial" w:hAnsi="Arial"/>
          <w:lang w:val="pt-BR"/>
        </w:rPr>
        <w:t>do objeto da ARP a Administração poderá aplicar à Fornecedora Registrada as seguintes sanções</w:t>
      </w:r>
      <w:r>
        <w:rPr>
          <w:rFonts w:cs="Arial" w:ascii="Arial" w:hAnsi="Arial"/>
        </w:rPr>
        <w:t>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-567" w:leader="none"/>
          <w:tab w:val="left" w:pos="567" w:leader="none"/>
          <w:tab w:val="left" w:pos="2127" w:leader="none"/>
        </w:tabs>
        <w:spacing w:lineRule="auto" w:line="360" w:before="117" w:after="0"/>
        <w:ind w:left="-567" w:right="41" w:hanging="0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advertência, </w:t>
      </w:r>
      <w:r>
        <w:rPr>
          <w:rFonts w:cs="Arial" w:ascii="Arial" w:hAnsi="Arial"/>
        </w:rPr>
        <w:t>por faltas leves, assim entendidas aquelas que não acarretem prejuízos significativos para a Órgão Gerenciador;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-567" w:leader="none"/>
        </w:tabs>
        <w:spacing w:lineRule="auto" w:line="360" w:before="119" w:after="0"/>
        <w:ind w:left="-567" w:right="41" w:hanging="0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multa moratória de 0,2%(zero vírgula dois por cento) </w:t>
      </w:r>
      <w:r>
        <w:rPr>
          <w:rFonts w:cs="Arial" w:ascii="Arial" w:hAnsi="Arial"/>
        </w:rPr>
        <w:t xml:space="preserve">por dia de atraso injustificado </w:t>
      </w:r>
      <w:r>
        <w:rPr>
          <w:rFonts w:cs="Arial" w:ascii="Arial" w:hAnsi="Arial"/>
          <w:u w:val="single"/>
        </w:rPr>
        <w:t>sobre o valor do pedido inadimplido</w:t>
      </w:r>
      <w:r>
        <w:rPr>
          <w:rFonts w:cs="Arial" w:ascii="Arial" w:hAnsi="Arial"/>
        </w:rPr>
        <w:t xml:space="preserve">, até o limite de 30 (trinta) dias de atraso; Multa moratória de </w:t>
      </w:r>
      <w:r>
        <w:rPr>
          <w:rFonts w:cs="Arial" w:ascii="Arial" w:hAnsi="Arial"/>
          <w:b/>
        </w:rPr>
        <w:t xml:space="preserve">0,4%(zero vírgula quatro por cento) </w:t>
      </w:r>
      <w:r>
        <w:rPr>
          <w:rFonts w:cs="Arial" w:ascii="Arial" w:hAnsi="Arial"/>
        </w:rPr>
        <w:t xml:space="preserve">por dia de atraso injustificado </w:t>
      </w:r>
      <w:r>
        <w:rPr>
          <w:rFonts w:cs="Arial" w:ascii="Arial" w:hAnsi="Arial"/>
          <w:u w:val="single"/>
        </w:rPr>
        <w:t>sobre o valor do pedido inadimplido</w:t>
      </w:r>
      <w:r>
        <w:rPr>
          <w:rFonts w:cs="Arial" w:ascii="Arial" w:hAnsi="Arial"/>
        </w:rPr>
        <w:t xml:space="preserve">, do 31º (trigésimo primeiro) ao 60º(sexagésimo) dia de atraso. Multa moratória de </w:t>
      </w:r>
      <w:r>
        <w:rPr>
          <w:rFonts w:cs="Arial" w:ascii="Arial" w:hAnsi="Arial"/>
          <w:b/>
        </w:rPr>
        <w:t xml:space="preserve">0,6%(zero vírgula seis por cento) </w:t>
      </w:r>
      <w:r>
        <w:rPr>
          <w:rFonts w:cs="Arial" w:ascii="Arial" w:hAnsi="Arial"/>
        </w:rPr>
        <w:t xml:space="preserve">por dia de atraso injustificado </w:t>
      </w:r>
      <w:r>
        <w:rPr>
          <w:rFonts w:cs="Arial" w:ascii="Arial" w:hAnsi="Arial"/>
          <w:u w:val="single"/>
        </w:rPr>
        <w:t>sobre o valor do pedido inadimplido</w:t>
      </w:r>
      <w:r>
        <w:rPr>
          <w:rFonts w:cs="Arial" w:ascii="Arial" w:hAnsi="Arial"/>
        </w:rPr>
        <w:t>, do 61º(sexagésimo primeiro) dia em diante, até o limite máximo de 150 dias, sem prejuízo das demais penalidades;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-567" w:leader="none"/>
        </w:tabs>
        <w:spacing w:lineRule="auto" w:line="360" w:before="118" w:after="0"/>
        <w:ind w:left="-567" w:right="41" w:hanging="0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multa compensatória de 5% (cinco por cento) </w:t>
      </w:r>
      <w:r>
        <w:rPr>
          <w:rFonts w:cs="Arial" w:ascii="Arial" w:hAnsi="Arial"/>
          <w:u w:val="single"/>
        </w:rPr>
        <w:t xml:space="preserve">sobre o valor total da Ata de Registro </w:t>
      </w:r>
      <w:r>
        <w:rPr>
          <w:rFonts w:cs="Arial" w:ascii="Arial" w:hAnsi="Arial"/>
        </w:rPr>
        <w:t>, no caso de inexecução total do objeto;</w:t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-567" w:leader="none"/>
        </w:tabs>
        <w:spacing w:lineRule="auto" w:line="360" w:before="118" w:after="0"/>
        <w:ind w:left="-284" w:right="41" w:hanging="0"/>
        <w:rPr>
          <w:rFonts w:ascii="Arial" w:hAnsi="Arial" w:cs="Arial"/>
        </w:rPr>
      </w:pPr>
      <w:r>
        <w:rPr>
          <w:rFonts w:cs="Arial" w:ascii="Arial" w:hAnsi="Arial"/>
        </w:rPr>
        <w:t>em caso de inexecução parcial, a multa compensatória, no mesmo percentual do sub item acima, será aplicada de forma proporcional à obrigação inadimplida;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567" w:leader="none"/>
          <w:tab w:val="left" w:pos="2127" w:leader="none"/>
        </w:tabs>
        <w:spacing w:lineRule="auto" w:line="360" w:before="118" w:after="0"/>
        <w:ind w:left="-567" w:right="41" w:hanging="0"/>
        <w:rPr>
          <w:rFonts w:ascii="Arial" w:hAnsi="Arial" w:cs="Arial"/>
        </w:rPr>
      </w:pPr>
      <w:r>
        <w:rPr>
          <w:rFonts w:cs="Arial" w:ascii="Arial" w:hAnsi="Arial"/>
          <w:b/>
        </w:rPr>
        <w:t>suspensão do direito de licitar e impedimento de contratar com o órgão</w:t>
      </w:r>
      <w:r>
        <w:rPr>
          <w:rFonts w:cs="Arial" w:ascii="Arial" w:hAnsi="Arial"/>
        </w:rPr>
        <w:t>, entidade ou unidade administrativa pela qual a Administração Pública opera e atua concretamente, pelo prazo de até dois anos;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567" w:leader="none"/>
          <w:tab w:val="left" w:pos="2127" w:leader="none"/>
        </w:tabs>
        <w:spacing w:lineRule="auto" w:line="360" w:before="118" w:after="0"/>
        <w:ind w:left="-567" w:right="41" w:hanging="0"/>
        <w:rPr>
          <w:rFonts w:ascii="Arial" w:hAnsi="Arial" w:cs="Arial"/>
        </w:rPr>
      </w:pPr>
      <w:r>
        <w:rPr>
          <w:rFonts w:cs="Arial" w:ascii="Arial" w:hAnsi="Arial"/>
          <w:b/>
        </w:rPr>
        <w:t>Declaração de inidoneidade</w:t>
      </w:r>
      <w:r>
        <w:rPr>
          <w:rFonts w:cs="Arial" w:ascii="Arial" w:hAnsi="Arial"/>
        </w:rPr>
        <w:t xml:space="preserve"> para licitar ou contratar com a Administração Pública, enquanto perdurarem os motivos determinantes da punição ou até que seja promovida a reabilitação perante a própria autoridade que aplicou a penalidade, que será concedida sempre que o Fornecedor Registrado promover o ressarcimento pelos prejuízos causados;</w:t>
      </w:r>
    </w:p>
    <w:p>
      <w:pPr>
        <w:pStyle w:val="ListParagraph"/>
        <w:numPr>
          <w:ilvl w:val="1"/>
          <w:numId w:val="1"/>
        </w:numPr>
        <w:spacing w:lineRule="auto" w:line="360" w:before="118" w:after="0"/>
        <w:ind w:left="-851" w:right="41" w:hanging="0"/>
        <w:rPr>
          <w:rFonts w:ascii="Arial" w:hAnsi="Arial" w:cs="Arial"/>
        </w:rPr>
      </w:pPr>
      <w:r>
        <w:rPr>
          <w:rFonts w:cs="Arial" w:ascii="Arial" w:hAnsi="Arial"/>
        </w:rPr>
        <w:t>As sanções previstas nos subitens 16.2.1, 16.2.5 e 16.2.6,  poderão ser aplicadas ao FORNECEDOR REGISTRADO juntamente com as de multa, descontando-a dos pagamentos a serem efetuados.</w:t>
      </w:r>
    </w:p>
    <w:p>
      <w:pPr>
        <w:pStyle w:val="ListParagraph"/>
        <w:numPr>
          <w:ilvl w:val="1"/>
          <w:numId w:val="1"/>
        </w:numPr>
        <w:spacing w:lineRule="auto" w:line="360" w:before="118" w:after="0"/>
        <w:ind w:left="-851" w:right="41" w:hanging="0"/>
        <w:rPr>
          <w:rFonts w:ascii="Arial" w:hAnsi="Arial" w:cs="Arial"/>
        </w:rPr>
      </w:pPr>
      <w:r>
        <w:rPr>
          <w:rFonts w:cs="Arial" w:ascii="Arial" w:hAnsi="Arial"/>
        </w:rPr>
        <w:t>Também ficam sujeitas às penalidades do art. 87, III e IV da Lei nº 8.666, de 1993, as empresas ou profissionais que: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-709" w:leader="none"/>
        </w:tabs>
        <w:spacing w:lineRule="auto" w:line="360" w:before="117" w:after="0"/>
        <w:ind w:left="-567" w:right="41" w:hanging="0"/>
        <w:rPr>
          <w:rFonts w:ascii="Arial" w:hAnsi="Arial" w:cs="Arial"/>
        </w:rPr>
      </w:pPr>
      <w:r>
        <w:rPr>
          <w:rFonts w:cs="Arial" w:ascii="Arial" w:hAnsi="Arial"/>
        </w:rPr>
        <w:t>tenham sofrido condenação definitiva por praticar, por meio dolosos, fraude fiscal no recolhimento de quaisquer tributos;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-709" w:leader="none"/>
        </w:tabs>
        <w:spacing w:lineRule="auto" w:line="360" w:before="118" w:after="0"/>
        <w:ind w:left="-567" w:right="41" w:hanging="0"/>
        <w:rPr>
          <w:rFonts w:ascii="Arial" w:hAnsi="Arial" w:cs="Arial"/>
        </w:rPr>
      </w:pPr>
      <w:r>
        <w:rPr>
          <w:rFonts w:cs="Arial" w:ascii="Arial" w:hAnsi="Arial"/>
        </w:rPr>
        <w:t>tenham praticado atos ilícitos visando a frustrar os objetivos da licitação;e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-709" w:leader="none"/>
        </w:tabs>
        <w:spacing w:lineRule="auto" w:line="360" w:before="118" w:after="0"/>
        <w:ind w:left="-567" w:right="41" w:hanging="0"/>
        <w:rPr>
          <w:rFonts w:ascii="Arial" w:hAnsi="Arial" w:cs="Arial"/>
        </w:rPr>
      </w:pPr>
      <w:r>
        <w:rPr>
          <w:rFonts w:cs="Arial" w:ascii="Arial" w:hAnsi="Arial"/>
        </w:rPr>
        <w:t>demonstrem não possuir idoneidade para contratar com a Administração em virtude de atos ilícitos praticados.</w:t>
      </w:r>
    </w:p>
    <w:p>
      <w:pPr>
        <w:pStyle w:val="ListParagraph"/>
        <w:numPr>
          <w:ilvl w:val="1"/>
          <w:numId w:val="1"/>
        </w:numPr>
        <w:spacing w:lineRule="auto" w:line="360" w:before="118" w:after="0"/>
        <w:ind w:left="-851" w:right="41" w:hanging="0"/>
        <w:rPr>
          <w:rFonts w:ascii="Arial" w:hAnsi="Arial" w:cs="Arial"/>
        </w:rPr>
      </w:pPr>
      <w:r>
        <w:rPr>
          <w:rFonts w:cs="Arial" w:ascii="Arial" w:hAnsi="Arial"/>
          <w:lang w:val="pt-BR"/>
        </w:rPr>
        <w:t>A aplicação de qualquer das penalidades previstas realizar-se-á em processo administrativo que assegurará o contraditório e a ampla defesa à Fornecedora Registrada, observando-se o procedimento previsto na Lei n 8.666/93</w:t>
      </w:r>
      <w:r>
        <w:rPr>
          <w:rFonts w:cs="Arial" w:ascii="Arial" w:hAnsi="Arial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-851" w:leader="none"/>
        </w:tabs>
        <w:spacing w:lineRule="auto" w:line="360" w:before="118" w:after="0"/>
        <w:ind w:left="-851" w:right="41" w:hanging="0"/>
        <w:rPr>
          <w:rFonts w:ascii="Arial" w:hAnsi="Arial" w:cs="Arial"/>
        </w:rPr>
      </w:pPr>
      <w:r>
        <w:rPr>
          <w:rFonts w:cs="Arial" w:ascii="Arial" w:hAnsi="Arial"/>
        </w:rPr>
        <w:t xml:space="preserve">Caso o Órgão Gerenciador determine, a multa deverá ser recolhida no prazo máximo de </w:t>
      </w:r>
      <w:r>
        <w:rPr>
          <w:rFonts w:cs="Arial" w:ascii="Arial" w:hAnsi="Arial"/>
          <w:b/>
        </w:rPr>
        <w:t>30 dias corridos</w:t>
      </w:r>
      <w:r>
        <w:rPr>
          <w:rFonts w:cs="Arial" w:ascii="Arial" w:hAnsi="Arial"/>
        </w:rPr>
        <w:t>, a contar da data do recebimento da comunicação enviada pela autoridade competente;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-851" w:leader="none"/>
        </w:tabs>
        <w:spacing w:lineRule="auto" w:line="360" w:before="118" w:after="0"/>
        <w:ind w:left="-851" w:right="41" w:hanging="0"/>
        <w:rPr>
          <w:rFonts w:ascii="Arial" w:hAnsi="Arial" w:cs="Arial"/>
        </w:rPr>
      </w:pPr>
      <w:r>
        <w:rPr>
          <w:rFonts w:cs="Arial" w:ascii="Arial" w:hAnsi="Arial"/>
          <w:lang w:val="pt-BR"/>
        </w:rPr>
        <w:t>A autoridade competente, na aplicação das sanções, levará em consideração a gravidade da conduta do infrator, o caráter educativo da pena, bem como o dano causado à Administração, observado o princípio da proporcionalidade</w:t>
      </w:r>
      <w:r>
        <w:rPr>
          <w:rFonts w:cs="Arial" w:ascii="Arial" w:hAnsi="Arial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-851" w:leader="none"/>
        </w:tabs>
        <w:spacing w:lineRule="auto" w:line="360" w:before="118" w:after="0"/>
        <w:ind w:left="-851" w:right="41" w:hanging="0"/>
        <w:rPr>
          <w:rFonts w:ascii="Arial" w:hAnsi="Arial" w:cs="Arial"/>
        </w:rPr>
      </w:pPr>
      <w:r>
        <w:rPr>
          <w:rFonts w:cs="Arial" w:ascii="Arial" w:hAnsi="Arial"/>
        </w:rPr>
        <w:t>As penalidades serão obrigatoriamente registradas no Tribunal de Contas do Estado do Rio de Janeiro.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76" w:leader="none"/>
        </w:tabs>
        <w:spacing w:lineRule="auto" w:line="360" w:before="118" w:after="0"/>
        <w:ind w:left="-491" w:right="41" w:hanging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DA VIGÊNCIA DA ATA DE REGISTRO DE PREÇOS</w:t>
      </w:r>
    </w:p>
    <w:p>
      <w:pPr>
        <w:pStyle w:val="ListParagraph"/>
        <w:numPr>
          <w:ilvl w:val="1"/>
          <w:numId w:val="1"/>
        </w:numPr>
        <w:spacing w:lineRule="auto" w:line="360" w:before="118" w:after="0"/>
        <w:ind w:left="-851" w:right="41" w:hanging="0"/>
        <w:rPr>
          <w:rFonts w:ascii="Arial" w:hAnsi="Arial" w:cs="Arial"/>
        </w:rPr>
      </w:pPr>
      <w:r>
        <w:rPr>
          <w:rFonts w:cs="Arial" w:ascii="Arial" w:hAnsi="Arial"/>
        </w:rPr>
        <w:t>A Ata de Registro de Preços terá duração de 12 (doze) meses e terá vigência a partir da data de sua assinatura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76" w:leader="none"/>
        </w:tabs>
        <w:spacing w:lineRule="auto" w:line="360" w:before="118" w:after="0"/>
        <w:ind w:left="-491" w:right="41" w:hanging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DA RESCISÃO ATA DE REGISRO DE PREÇOS 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-851" w:leader="none"/>
        </w:tabs>
        <w:spacing w:lineRule="auto" w:line="360" w:before="118" w:after="0"/>
        <w:ind w:left="-851" w:right="41" w:hanging="0"/>
        <w:rPr>
          <w:rFonts w:ascii="Arial" w:hAnsi="Arial" w:cs="Arial"/>
        </w:rPr>
      </w:pPr>
      <w:r>
        <w:rPr>
          <w:rFonts w:cs="Arial" w:ascii="Arial" w:hAnsi="Arial"/>
        </w:rPr>
        <w:t>A Ata poderá ser rescindido, a critério do Órgão Gerenciador, decorridos 10 (dez) dias após o prazo de entrega, caso a Fornecedora Registrada não comprove já ter enviado os materiais via transportadora ou correios, e/ou não apresente justificativas aceitáveis para a demora no cumprimento da ordem de fornecimento.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-851" w:leader="none"/>
        </w:tabs>
        <w:spacing w:lineRule="auto" w:line="360" w:before="118" w:after="0"/>
        <w:ind w:left="-851" w:right="41" w:hanging="0"/>
        <w:rPr>
          <w:rFonts w:ascii="Arial" w:hAnsi="Arial" w:cs="Arial"/>
        </w:rPr>
      </w:pPr>
      <w:r>
        <w:rPr>
          <w:rFonts w:cs="Arial" w:ascii="Arial" w:hAnsi="Arial"/>
        </w:rPr>
        <w:t>A decisão de rescindir Ata caberá ao Órgão Gerenciador, após prévia consulta ao setor solicitante do material, e desde que se vislumbrem possibilidades de prejuízos à Administração Municipal.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-851" w:leader="none"/>
        </w:tabs>
        <w:spacing w:lineRule="auto" w:line="360" w:before="118" w:after="0"/>
        <w:ind w:left="-851" w:right="41" w:hanging="0"/>
        <w:rPr>
          <w:rFonts w:ascii="Arial" w:hAnsi="Arial" w:cs="Arial"/>
        </w:rPr>
      </w:pPr>
      <w:r>
        <w:rPr>
          <w:rFonts w:cs="Arial" w:ascii="Arial" w:hAnsi="Arial"/>
        </w:rPr>
        <w:t xml:space="preserve">Nos casos em que se justifique a rescisão, a Fornecedora Registrada ficará sujeita às penalidades previstas no </w:t>
      </w:r>
      <w:r>
        <w:rPr>
          <w:rFonts w:cs="Arial" w:ascii="Arial" w:hAnsi="Arial"/>
          <w:b/>
          <w:bCs/>
        </w:rPr>
        <w:t>item 16</w:t>
      </w:r>
      <w:r>
        <w:rPr>
          <w:rFonts w:cs="Arial" w:ascii="Arial" w:hAnsi="Arial"/>
        </w:rPr>
        <w:t xml:space="preserve"> deste Termo de Referência e na Ata.</w:t>
      </w:r>
    </w:p>
    <w:p>
      <w:pPr>
        <w:pStyle w:val="Ttulo11"/>
        <w:numPr>
          <w:ilvl w:val="0"/>
          <w:numId w:val="1"/>
        </w:numPr>
        <w:tabs>
          <w:tab w:val="clear" w:pos="720"/>
          <w:tab w:val="left" w:pos="588" w:leader="none"/>
        </w:tabs>
        <w:spacing w:lineRule="auto" w:line="360"/>
        <w:ind w:left="-491" w:right="41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DOS RECURSOS ORÇAMENTÁRIOS</w:t>
      </w:r>
    </w:p>
    <w:p>
      <w:pPr>
        <w:pStyle w:val="ListParagraph"/>
        <w:widowControl/>
        <w:numPr>
          <w:ilvl w:val="1"/>
          <w:numId w:val="1"/>
        </w:numPr>
        <w:spacing w:lineRule="auto" w:line="360"/>
        <w:ind w:left="-851" w:right="41" w:hanging="0"/>
        <w:rPr>
          <w:rFonts w:ascii="Arial" w:hAnsi="Arial" w:cs="Arial"/>
        </w:rPr>
      </w:pPr>
      <w:r>
        <w:rPr>
          <w:rFonts w:cs="Arial" w:ascii="Arial" w:hAnsi="Arial"/>
          <w:lang w:val="pt-BR"/>
        </w:rPr>
        <w:t>As despesas decorrentes da contratação estão programadas em dotação orçamentária própria, prevista no orçamento do Município para o exercício de 2023 na classificação abaixo:</w:t>
      </w:r>
    </w:p>
    <w:p>
      <w:pPr>
        <w:pStyle w:val="ListParagraph"/>
        <w:widowControl/>
        <w:spacing w:lineRule="auto" w:line="360"/>
        <w:ind w:left="-851" w:right="41" w:hanging="0"/>
        <w:rPr>
          <w:rFonts w:ascii="Arial" w:hAnsi="Arial" w:cs="Arial"/>
        </w:rPr>
      </w:pPr>
      <w:r>
        <w:rPr>
          <w:rFonts w:cs="Arial" w:ascii="Arial" w:hAnsi="Arial"/>
        </w:rPr>
        <w:t xml:space="preserve">ÓRGÃO: 16 </w:t>
      </w:r>
    </w:p>
    <w:p>
      <w:pPr>
        <w:pStyle w:val="ListParagraph"/>
        <w:widowControl/>
        <w:spacing w:lineRule="auto" w:line="360"/>
        <w:ind w:left="-851" w:right="41" w:hanging="0"/>
        <w:rPr>
          <w:rFonts w:ascii="Arial" w:hAnsi="Arial" w:cs="Arial"/>
        </w:rPr>
      </w:pPr>
      <w:r>
        <w:rPr>
          <w:rFonts w:cs="Arial" w:ascii="Arial" w:hAnsi="Arial"/>
        </w:rPr>
        <w:t xml:space="preserve">UNIDADE: 002 </w:t>
      </w:r>
    </w:p>
    <w:p>
      <w:pPr>
        <w:pStyle w:val="ListParagraph"/>
        <w:widowControl/>
        <w:spacing w:lineRule="auto" w:line="360"/>
        <w:ind w:left="-851" w:right="41" w:hanging="0"/>
        <w:rPr>
          <w:rFonts w:ascii="Arial" w:hAnsi="Arial" w:cs="Arial"/>
        </w:rPr>
      </w:pPr>
      <w:r>
        <w:rPr>
          <w:rFonts w:cs="Arial" w:ascii="Arial" w:hAnsi="Arial"/>
        </w:rPr>
        <w:t xml:space="preserve">PROGRAMA DE TRABALHO: 08.244.0094.2.291 </w:t>
      </w:r>
    </w:p>
    <w:p>
      <w:pPr>
        <w:pStyle w:val="ListParagraph"/>
        <w:widowControl/>
        <w:spacing w:lineRule="auto" w:line="360"/>
        <w:ind w:left="-851" w:right="41" w:hanging="0"/>
        <w:rPr>
          <w:rFonts w:ascii="Arial" w:hAnsi="Arial" w:cs="Arial"/>
        </w:rPr>
      </w:pPr>
      <w:r>
        <w:rPr>
          <w:rFonts w:cs="Arial" w:ascii="Arial" w:hAnsi="Arial"/>
        </w:rPr>
        <w:t>ELEMENTO DE DESPESA: 33.90.30.22 e 33.90.30.35</w:t>
      </w:r>
    </w:p>
    <w:p>
      <w:pPr>
        <w:pStyle w:val="ListParagraph"/>
        <w:widowControl/>
        <w:spacing w:lineRule="auto" w:line="360"/>
        <w:ind w:left="-851" w:right="41" w:hanging="0"/>
        <w:rPr>
          <w:b w:val="false"/>
          <w:b w:val="false"/>
          <w:bCs w:val="false"/>
          <w:color w:val="000000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hd w:fill="auto" w:val="clear"/>
        </w:rPr>
        <w:t xml:space="preserve">FONTE: </w:t>
      </w:r>
      <w:r>
        <w:rPr>
          <w:rFonts w:cs="Arial" w:ascii="Arial" w:hAnsi="Arial"/>
          <w:b w:val="false"/>
          <w:bCs w:val="false"/>
          <w:color w:val="000000"/>
          <w:shd w:fill="auto" w:val="clear"/>
        </w:rPr>
        <w:t>15010001</w:t>
      </w:r>
    </w:p>
    <w:p>
      <w:pPr>
        <w:pStyle w:val="ListParagraph"/>
        <w:widowControl/>
        <w:numPr>
          <w:ilvl w:val="0"/>
          <w:numId w:val="1"/>
        </w:numPr>
        <w:spacing w:lineRule="auto" w:line="360"/>
        <w:ind w:left="-491" w:right="41" w:hanging="360"/>
        <w:rPr>
          <w:rFonts w:ascii="Arial" w:hAnsi="Arial" w:eastAsia="Calibri" w:cs="Arial" w:eastAsiaTheme="minorHAnsi"/>
          <w:b/>
          <w:b/>
          <w:lang w:val="pt-BR"/>
        </w:rPr>
      </w:pPr>
      <w:r>
        <w:rPr>
          <w:rFonts w:eastAsia="Calibri" w:cs="Arial" w:ascii="Arial" w:hAnsi="Arial" w:eastAsiaTheme="minorHAnsi"/>
          <w:b/>
          <w:lang w:val="pt-BR"/>
        </w:rPr>
        <w:t>DAS DISPOSIÇÕES GERAIS</w:t>
      </w:r>
    </w:p>
    <w:p>
      <w:pPr>
        <w:pStyle w:val="ListParagraph"/>
        <w:widowControl/>
        <w:spacing w:lineRule="auto" w:line="360"/>
        <w:ind w:left="-851" w:right="41" w:hanging="0"/>
        <w:rPr>
          <w:rFonts w:ascii="Arial" w:hAnsi="Arial" w:eastAsia="Calibri" w:cs="Arial" w:eastAsiaTheme="minorHAnsi"/>
          <w:lang w:val="pt-BR"/>
        </w:rPr>
      </w:pPr>
      <w:r>
        <w:rPr>
          <w:rFonts w:cs="Arial" w:ascii="Arial" w:hAnsi="Arial"/>
        </w:rPr>
        <w:t>20.1.</w:t>
      </w:r>
      <w:r>
        <w:rPr>
          <w:rFonts w:eastAsia="Calibri" w:cs="Arial" w:ascii="Arial" w:hAnsi="Arial" w:eastAsiaTheme="minorHAnsi"/>
          <w:lang w:val="pt-BR"/>
        </w:rPr>
        <w:t>O presente Termo de Referência (TR) seguirá devidamente aprovado pela autoridade competente (ordenador de despesas), por meio de despacho, em atenção a Resolução Conjunta CGM/PGM/SEMGOV/SEMPLA de 12 de abril de 2021.</w:t>
      </w:r>
    </w:p>
    <w:p>
      <w:pPr>
        <w:pStyle w:val="Normal"/>
        <w:spacing w:lineRule="auto" w:line="360" w:before="0" w:after="360"/>
        <w:ind w:left="-851" w:right="41" w:hanging="0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</w:r>
    </w:p>
    <w:p>
      <w:pPr>
        <w:pStyle w:val="Normal"/>
        <w:spacing w:lineRule="auto" w:line="360" w:before="0" w:after="360"/>
        <w:ind w:left="-851" w:right="41" w:hanging="0"/>
        <w:jc w:val="center"/>
        <w:rPr>
          <w:rFonts w:ascii="Arial" w:hAnsi="Arial" w:cs="Arial"/>
          <w:color w:val="000000" w:themeColor="text1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11" w:right="566" w:header="272" w:top="1560" w:footer="284" w:bottom="1276" w:gutter="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Ecofont_Spranq_eco_Sans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tLeast" w:line="0" w:before="0" w:after="0"/>
      <w:ind w:left="0" w:hanging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tLeast" w:line="0" w:before="0" w:after="0"/>
      <w:ind w:left="0" w:hanging="0"/>
      <w:jc w:val="left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11">
              <wp:simplePos x="0" y="0"/>
              <wp:positionH relativeFrom="column">
                <wp:posOffset>4535805</wp:posOffset>
              </wp:positionH>
              <wp:positionV relativeFrom="paragraph">
                <wp:posOffset>-33655</wp:posOffset>
              </wp:positionV>
              <wp:extent cx="1821815" cy="570865"/>
              <wp:effectExtent l="0" t="0" r="8890" b="2540"/>
              <wp:wrapSquare wrapText="bothSides"/>
              <wp:docPr id="3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1240" cy="570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36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PMI/RJ</w:t>
                          </w:r>
                        </w:p>
                        <w:p>
                          <w:pPr>
                            <w:pStyle w:val="Contedodoquadro"/>
                            <w:spacing w:lineRule="auto" w:line="36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Processo 523/2023</w:t>
                            <w:br/>
                            <w:t>Rubrica_________ Fls.________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2" fillcolor="white" stroked="t" style="position:absolute;margin-left:357.15pt;margin-top:-2.65pt;width:143.35pt;height:44.85pt">
              <w10:wrap type="square"/>
              <v:fill o:detectmouseclick="t" type="solid" color2="black"/>
              <v:stroke color="black" weight="720" joinstyle="round" endcap="flat"/>
              <v:textbox>
                <w:txbxContent>
                  <w:p>
                    <w:pPr>
                      <w:pStyle w:val="Contedodoquadro"/>
                      <w:spacing w:lineRule="auto" w:line="360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PMI/RJ</w:t>
                    </w:r>
                  </w:p>
                  <w:p>
                    <w:pPr>
                      <w:pStyle w:val="Contedodoquadro"/>
                      <w:spacing w:lineRule="auto" w:line="360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Processo 523/2023</w:t>
                      <w:br/>
                      <w:t>Rubrica_________ Fls.________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-491" w:hanging="360"/>
      </w:pPr>
      <w:rPr>
        <w:b/>
        <w:w w:val="105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-131" w:hanging="720"/>
      </w:pPr>
      <w:rPr>
        <w:dstrike w:val="false"/>
        <w:strike w:val="false"/>
        <w:sz w:val="23"/>
        <w:b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-131" w:hanging="720"/>
      </w:pPr>
      <w:rPr>
        <w:sz w:val="2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" w:hanging="1080"/>
      </w:pPr>
      <w:rPr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9" w:hanging="1080"/>
      </w:pPr>
      <w:rPr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89" w:hanging="1440"/>
      </w:pPr>
      <w:rPr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9" w:hanging="1440"/>
      </w:pPr>
      <w:rPr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49" w:hanging="1800"/>
      </w:pPr>
      <w:rPr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49" w:hanging="1800"/>
      </w:pPr>
      <w:rPr>
        <w:sz w:val="23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a14af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1"/>
    <w:uiPriority w:val="99"/>
    <w:qFormat/>
    <w:rsid w:val="00b77c15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link w:val="Rodap1"/>
    <w:uiPriority w:val="99"/>
    <w:qFormat/>
    <w:rsid w:val="00b77c15"/>
    <w:rPr>
      <w:rFonts w:ascii="Times New Roman" w:hAnsi="Times New Roman" w:eastAsia="Times New Roman" w:cs="Times New Roman"/>
      <w:lang w:val="pt-PT"/>
    </w:rPr>
  </w:style>
  <w:style w:type="character" w:styleId="TextodebaloChar" w:customStyle="1">
    <w:name w:val="Texto de balão Char"/>
    <w:basedOn w:val="DefaultParagraphFont"/>
    <w:link w:val="Textodebalo"/>
    <w:uiPriority w:val="99"/>
    <w:qFormat/>
    <w:rsid w:val="00ce1a35"/>
    <w:rPr>
      <w:rFonts w:ascii="Tahoma" w:hAnsi="Tahoma" w:eastAsia="Calibri" w:cs="Tahoma"/>
      <w:sz w:val="16"/>
      <w:szCs w:val="16"/>
      <w:lang w:val="pt-BR"/>
    </w:rPr>
  </w:style>
  <w:style w:type="character" w:styleId="Nivel1Char" w:customStyle="1">
    <w:name w:val="Nivel1 Char"/>
    <w:basedOn w:val="DefaultParagraphFont"/>
    <w:link w:val="Nivel1"/>
    <w:qFormat/>
    <w:rsid w:val="00723e9c"/>
    <w:rPr>
      <w:rFonts w:ascii="Arial" w:hAnsi="Arial" w:eastAsia="" w:cs="Times New Roman" w:eastAsiaTheme="majorEastAsia"/>
      <w:b/>
      <w:color w:val="000000"/>
      <w:sz w:val="20"/>
      <w:szCs w:val="20"/>
      <w:lang w:val="pt-BR" w:eastAsia="pt-BR"/>
    </w:rPr>
  </w:style>
  <w:style w:type="character" w:styleId="CitaoChar" w:customStyle="1">
    <w:name w:val="Citação Char"/>
    <w:basedOn w:val="DefaultParagraphFont"/>
    <w:link w:val="Citao"/>
    <w:uiPriority w:val="29"/>
    <w:qFormat/>
    <w:rsid w:val="00195c6f"/>
    <w:rPr>
      <w:rFonts w:ascii="Arial" w:hAnsi="Arial" w:eastAsia="Calibri" w:cs="Times New Roman"/>
      <w:i/>
      <w:iCs/>
      <w:color w:val="000000"/>
      <w:sz w:val="20"/>
      <w:szCs w:val="24"/>
      <w:shd w:fill="FFFFCC" w:val="clear"/>
    </w:rPr>
  </w:style>
  <w:style w:type="character" w:styleId="Nivel2Char" w:customStyle="1">
    <w:name w:val="Nivel 2 Char"/>
    <w:basedOn w:val="DefaultParagraphFont"/>
    <w:link w:val="Nivel2"/>
    <w:qFormat/>
    <w:rsid w:val="0034751d"/>
    <w:rPr>
      <w:rFonts w:ascii="Ecofont_Spranq_eco_Sans" w:hAnsi="Ecofont_Spranq_eco_Sans" w:eastAsia="Arial Unicode MS" w:cs="Times New Roman"/>
      <w:sz w:val="20"/>
      <w:szCs w:val="20"/>
      <w:lang w:val="pt-BR" w:eastAsia="pt-BR"/>
    </w:rPr>
  </w:style>
  <w:style w:type="character" w:styleId="TextodenotaderodapChar" w:customStyle="1">
    <w:name w:val="Texto de nota de rodapé Char"/>
    <w:basedOn w:val="DefaultParagraphFont"/>
    <w:link w:val="Textodenotaderodap1"/>
    <w:uiPriority w:val="99"/>
    <w:semiHidden/>
    <w:qFormat/>
    <w:rsid w:val="005c5d2f"/>
    <w:rPr>
      <w:rFonts w:ascii="Calibri" w:hAnsi="Calibri" w:eastAsia="Calibri" w:cs="Times New Roman"/>
      <w:sz w:val="20"/>
      <w:szCs w:val="20"/>
      <w:lang w:val="pt-BR"/>
    </w:rPr>
  </w:style>
  <w:style w:type="character" w:styleId="Ncoradanotaderodap" w:customStyle="1">
    <w:name w:val="Âncora da nota de rodapé"/>
    <w:rsid w:val="007548a1"/>
    <w:rPr>
      <w:vertAlign w:val="superscript"/>
    </w:rPr>
  </w:style>
  <w:style w:type="character" w:styleId="FootnoteCharacters" w:customStyle="1">
    <w:name w:val="Footnote Characters"/>
    <w:uiPriority w:val="99"/>
    <w:semiHidden/>
    <w:unhideWhenUsed/>
    <w:qFormat/>
    <w:rsid w:val="005c5d2f"/>
    <w:rPr>
      <w:vertAlign w:val="superscript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ee32c8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TtuloChar" w:customStyle="1">
    <w:name w:val="Título Char"/>
    <w:basedOn w:val="DefaultParagraphFont"/>
    <w:link w:val="Ttulo"/>
    <w:uiPriority w:val="1"/>
    <w:qFormat/>
    <w:rsid w:val="004a662b"/>
    <w:rPr>
      <w:rFonts w:ascii="Times New Roman" w:hAnsi="Times New Roman" w:eastAsia="Times New Roman" w:cs="Times New Roman"/>
      <w:b/>
      <w:bCs/>
      <w:sz w:val="30"/>
      <w:szCs w:val="30"/>
      <w:lang w:val="pt-PT"/>
    </w:rPr>
  </w:style>
  <w:style w:type="character" w:styleId="Caracteresdenotaderodap" w:customStyle="1">
    <w:name w:val="Caracteres de nota de rodapé"/>
    <w:qFormat/>
    <w:rsid w:val="007548a1"/>
    <w:rPr/>
  </w:style>
  <w:style w:type="character" w:styleId="Ncoradanotadefim" w:customStyle="1">
    <w:name w:val="Âncora da nota de fim"/>
    <w:rsid w:val="007548a1"/>
    <w:rPr>
      <w:vertAlign w:val="superscript"/>
    </w:rPr>
  </w:style>
  <w:style w:type="character" w:styleId="Caracteresdenotadefim" w:customStyle="1">
    <w:name w:val="Caracteres de nota de fim"/>
    <w:qFormat/>
    <w:rsid w:val="007548a1"/>
    <w:rPr/>
  </w:style>
  <w:style w:type="character" w:styleId="CabealhoChar1" w:customStyle="1">
    <w:name w:val="Cabeçalho Char1"/>
    <w:basedOn w:val="DefaultParagraphFont"/>
    <w:link w:val="Cabealho"/>
    <w:uiPriority w:val="99"/>
    <w:qFormat/>
    <w:rsid w:val="00097c8d"/>
    <w:rPr>
      <w:rFonts w:ascii="Times New Roman" w:hAnsi="Times New Roman" w:eastAsia="Times New Roman" w:cs="Times New Roman"/>
      <w:lang w:val="pt-PT"/>
    </w:rPr>
  </w:style>
  <w:style w:type="character" w:styleId="RodapChar1" w:customStyle="1">
    <w:name w:val="Rodapé Char1"/>
    <w:basedOn w:val="DefaultParagraphFont"/>
    <w:link w:val="Rodap"/>
    <w:uiPriority w:val="99"/>
    <w:qFormat/>
    <w:rsid w:val="00097c8d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basedOn w:val="DefaultParagraphFont"/>
    <w:uiPriority w:val="99"/>
    <w:unhideWhenUsed/>
    <w:rsid w:val="002b48b8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a14af1"/>
    <w:pPr>
      <w:spacing w:before="106" w:after="0"/>
      <w:ind w:left="207" w:hanging="0"/>
      <w:jc w:val="both"/>
    </w:pPr>
    <w:rPr>
      <w:sz w:val="20"/>
      <w:szCs w:val="20"/>
    </w:rPr>
  </w:style>
  <w:style w:type="paragraph" w:styleId="Lista">
    <w:name w:val="List"/>
    <w:basedOn w:val="Corpodotexto"/>
    <w:rsid w:val="007548a1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7548a1"/>
    <w:pPr>
      <w:suppressLineNumbers/>
    </w:pPr>
    <w:rPr>
      <w:rFonts w:cs="Lucida Sans"/>
    </w:rPr>
  </w:style>
  <w:style w:type="paragraph" w:styleId="Ttulo11" w:customStyle="1">
    <w:name w:val="Título 11"/>
    <w:basedOn w:val="Normal"/>
    <w:uiPriority w:val="1"/>
    <w:qFormat/>
    <w:rsid w:val="00f2329d"/>
    <w:pPr>
      <w:spacing w:before="201" w:after="0"/>
      <w:ind w:left="470" w:hanging="236"/>
      <w:outlineLvl w:val="1"/>
    </w:pPr>
    <w:rPr>
      <w:b/>
      <w:bCs/>
      <w:sz w:val="23"/>
      <w:szCs w:val="23"/>
    </w:rPr>
  </w:style>
  <w:style w:type="paragraph" w:styleId="Ttulododocumento">
    <w:name w:val="Title"/>
    <w:basedOn w:val="Normal"/>
    <w:next w:val="Corpodotexto"/>
    <w:link w:val="TtuloChar"/>
    <w:uiPriority w:val="1"/>
    <w:qFormat/>
    <w:rsid w:val="004a662b"/>
    <w:pPr>
      <w:spacing w:before="69" w:after="0"/>
      <w:ind w:left="2343" w:right="2352" w:hanging="0"/>
      <w:jc w:val="center"/>
    </w:pPr>
    <w:rPr>
      <w:b/>
      <w:bCs/>
      <w:sz w:val="30"/>
      <w:szCs w:val="30"/>
    </w:rPr>
  </w:style>
  <w:style w:type="paragraph" w:styleId="Legenda1" w:customStyle="1">
    <w:name w:val="Legenda1"/>
    <w:basedOn w:val="Normal"/>
    <w:qFormat/>
    <w:rsid w:val="007548a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a14af1"/>
    <w:pPr>
      <w:spacing w:before="107" w:after="0"/>
      <w:ind w:left="207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a14af1"/>
    <w:pPr/>
    <w:rPr/>
  </w:style>
  <w:style w:type="paragraph" w:styleId="CabealhoeRodap" w:customStyle="1">
    <w:name w:val="Cabeçalho e Rodapé"/>
    <w:basedOn w:val="Normal"/>
    <w:qFormat/>
    <w:rsid w:val="007548a1"/>
    <w:pPr/>
    <w:rPr/>
  </w:style>
  <w:style w:type="paragraph" w:styleId="Cabealho1" w:customStyle="1">
    <w:name w:val="Cabeçalho1"/>
    <w:basedOn w:val="Normal"/>
    <w:link w:val="CabealhoChar"/>
    <w:uiPriority w:val="99"/>
    <w:unhideWhenUsed/>
    <w:qFormat/>
    <w:rsid w:val="00b77c15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1" w:customStyle="1">
    <w:name w:val="Rodapé1"/>
    <w:basedOn w:val="Normal"/>
    <w:link w:val="RodapChar"/>
    <w:uiPriority w:val="99"/>
    <w:unhideWhenUsed/>
    <w:qFormat/>
    <w:rsid w:val="00b77c15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unhideWhenUsed/>
    <w:qFormat/>
    <w:rsid w:val="00ce1a35"/>
    <w:pPr>
      <w:widowControl/>
    </w:pPr>
    <w:rPr>
      <w:rFonts w:ascii="Tahoma" w:hAnsi="Tahoma" w:eastAsia="Calibri" w:cs="Tahoma"/>
      <w:sz w:val="16"/>
      <w:szCs w:val="16"/>
      <w:lang w:val="pt-BR"/>
    </w:rPr>
  </w:style>
  <w:style w:type="paragraph" w:styleId="Nivel1" w:customStyle="1">
    <w:name w:val="Nivel1"/>
    <w:basedOn w:val="Ttulo11"/>
    <w:link w:val="Nivel1Char"/>
    <w:qFormat/>
    <w:rsid w:val="00723e9c"/>
    <w:pPr>
      <w:keepNext w:val="true"/>
      <w:keepLines/>
      <w:widowControl/>
      <w:spacing w:lineRule="auto" w:line="276" w:before="480" w:after="0"/>
      <w:jc w:val="both"/>
    </w:pPr>
    <w:rPr>
      <w:rFonts w:ascii="Arial" w:hAnsi="Arial" w:eastAsia="" w:eastAsiaTheme="majorEastAsia"/>
      <w:bCs w:val="false"/>
      <w:color w:val="000000"/>
      <w:lang w:val="pt-BR" w:eastAsia="pt-BR"/>
    </w:rPr>
  </w:style>
  <w:style w:type="paragraph" w:styleId="Quote">
    <w:name w:val="Quote"/>
    <w:basedOn w:val="Normal"/>
    <w:next w:val="Normal"/>
    <w:link w:val="CitaoChar"/>
    <w:uiPriority w:val="29"/>
    <w:qFormat/>
    <w:rsid w:val="00195c6f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ascii="Arial" w:hAnsi="Arial" w:eastAsia="Calibri"/>
      <w:i/>
      <w:iCs/>
      <w:color w:val="000000"/>
      <w:sz w:val="20"/>
      <w:szCs w:val="24"/>
    </w:rPr>
  </w:style>
  <w:style w:type="paragraph" w:styleId="PargrafodaLista1" w:customStyle="1">
    <w:name w:val="Parágrafo da Lista1"/>
    <w:basedOn w:val="Normal"/>
    <w:qFormat/>
    <w:rsid w:val="0034751d"/>
    <w:pPr>
      <w:widowControl/>
      <w:ind w:left="720" w:hanging="0"/>
    </w:pPr>
    <w:rPr>
      <w:rFonts w:ascii="Ecofont_Spranq_eco_Sans" w:hAnsi="Ecofont_Spranq_eco_Sans" w:cs="Ecofont_Spranq_eco_Sans"/>
      <w:sz w:val="24"/>
      <w:szCs w:val="24"/>
      <w:lang w:val="pt-BR" w:eastAsia="pt-BR"/>
    </w:rPr>
  </w:style>
  <w:style w:type="paragraph" w:styleId="Nivel2" w:customStyle="1">
    <w:name w:val="Nivel 2"/>
    <w:link w:val="Nivel2Char"/>
    <w:qFormat/>
    <w:rsid w:val="0034751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76" w:before="120" w:after="120"/>
      <w:ind w:left="502" w:hanging="360"/>
      <w:jc w:val="both"/>
    </w:pPr>
    <w:rPr>
      <w:rFonts w:ascii="Ecofont_Spranq_eco_Sans" w:hAnsi="Ecofont_Spranq_eco_Sans" w:eastAsia="Arial Unicode MS" w:cs="Times New Roman"/>
      <w:color w:val="auto"/>
      <w:kern w:val="0"/>
      <w:sz w:val="20"/>
      <w:szCs w:val="20"/>
      <w:lang w:val="pt-BR" w:eastAsia="pt-BR" w:bidi="ar-SA"/>
    </w:rPr>
  </w:style>
  <w:style w:type="paragraph" w:styleId="Nivel11" w:customStyle="1">
    <w:name w:val="Nivel 1"/>
    <w:basedOn w:val="Nivel2"/>
    <w:next w:val="Nivel2"/>
    <w:qFormat/>
    <w:rsid w:val="0034751d"/>
    <w:pPr>
      <w:tabs>
        <w:tab w:val="left" w:pos="0" w:leader="none"/>
        <w:tab w:val="left" w:pos="360" w:leader="none"/>
      </w:tabs>
      <w:ind w:left="644" w:hanging="432"/>
    </w:pPr>
    <w:rPr>
      <w:rFonts w:cs="Arial"/>
      <w:b/>
    </w:rPr>
  </w:style>
  <w:style w:type="paragraph" w:styleId="Nivel3" w:customStyle="1">
    <w:name w:val="Nivel 3"/>
    <w:basedOn w:val="Nivel2"/>
    <w:qFormat/>
    <w:rsid w:val="0034751d"/>
    <w:pPr>
      <w:tabs>
        <w:tab w:val="left" w:pos="0" w:leader="none"/>
        <w:tab w:val="left" w:pos="360" w:leader="none"/>
      </w:tabs>
      <w:ind w:left="1922" w:hanging="494"/>
    </w:pPr>
    <w:rPr>
      <w:rFonts w:cs="Arial"/>
      <w:color w:val="000000"/>
    </w:rPr>
  </w:style>
  <w:style w:type="paragraph" w:styleId="Nivel4" w:customStyle="1">
    <w:name w:val="Nivel 4"/>
    <w:basedOn w:val="Nivel3"/>
    <w:qFormat/>
    <w:rsid w:val="0034751d"/>
    <w:pPr>
      <w:ind w:left="2491" w:hanging="494"/>
    </w:pPr>
    <w:rPr>
      <w:color w:val="auto"/>
    </w:rPr>
  </w:style>
  <w:style w:type="paragraph" w:styleId="Nivel5" w:customStyle="1">
    <w:name w:val="Nivel 5"/>
    <w:basedOn w:val="Nivel4"/>
    <w:qFormat/>
    <w:rsid w:val="0034751d"/>
    <w:pPr>
      <w:ind w:left="3485" w:hanging="494"/>
    </w:pPr>
    <w:rPr/>
  </w:style>
  <w:style w:type="paragraph" w:styleId="Textodenotaderodap1" w:customStyle="1">
    <w:name w:val="Texto de nota de rodapé1"/>
    <w:basedOn w:val="Normal"/>
    <w:link w:val="TextodenotaderodapChar"/>
    <w:uiPriority w:val="99"/>
    <w:semiHidden/>
    <w:unhideWhenUsed/>
    <w:qFormat/>
    <w:rsid w:val="005c5d2f"/>
    <w:pPr>
      <w:widowControl/>
    </w:pPr>
    <w:rPr>
      <w:rFonts w:ascii="Calibri" w:hAnsi="Calibri" w:eastAsia="Calibri"/>
      <w:sz w:val="20"/>
      <w:szCs w:val="20"/>
      <w:lang w:val="pt-BR"/>
    </w:rPr>
  </w:style>
  <w:style w:type="paragraph" w:styleId="Ttulo111" w:customStyle="1">
    <w:name w:val="Título 111"/>
    <w:basedOn w:val="Normal"/>
    <w:uiPriority w:val="1"/>
    <w:qFormat/>
    <w:rsid w:val="0015435b"/>
    <w:pPr>
      <w:spacing w:before="201" w:after="0"/>
      <w:ind w:left="470" w:hanging="236"/>
      <w:outlineLvl w:val="1"/>
    </w:pPr>
    <w:rPr>
      <w:b/>
      <w:bCs/>
      <w:sz w:val="23"/>
      <w:szCs w:val="23"/>
    </w:rPr>
  </w:style>
  <w:style w:type="paragraph" w:styleId="Cabealho">
    <w:name w:val="Header"/>
    <w:basedOn w:val="Normal"/>
    <w:link w:val="CabealhoChar1"/>
    <w:uiPriority w:val="99"/>
    <w:unhideWhenUsed/>
    <w:rsid w:val="00097c8d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1"/>
    <w:uiPriority w:val="99"/>
    <w:unhideWhenUsed/>
    <w:rsid w:val="00097c8d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Normal"/>
    <w:qFormat/>
    <w:rsid w:val="00cd2d1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14af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651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1">
    <w:name w:val="Tabela com grade1"/>
    <w:basedOn w:val="Tabelanormal"/>
    <w:uiPriority w:val="39"/>
    <w:rsid w:val="00dc470d"/>
    <w:rPr>
      <w:lang w:val="pt-BR" w:eastAsia="zh-CN" w:bidi="hi-IN"/>
      <w:sz w:val="20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49CE4-446C-499C-9496-1FF238DC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LibreOffice/7.0.0.3$Windows_X86_64 LibreOffice_project/8061b3e9204bef6b321a21033174034a5e2ea88e</Application>
  <Pages>9</Pages>
  <Words>2968</Words>
  <Characters>16916</Characters>
  <CharactersWithSpaces>19694</CharactersWithSpaces>
  <Paragraphs>139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2023-03-20T19:03:00Z</dcterms:created>
  <dc:creator>PMI</dc:creator>
  <dc:description/>
  <dc:language>pt-BR</dc:language>
  <cp:lastModifiedBy/>
  <cp:lastPrinted>2023-03-10T18:10:00Z</cp:lastPrinted>
  <dcterms:modified xsi:type="dcterms:W3CDTF">2023-07-21T16:42:49Z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Created">
    <vt:filetime>2020-10-09T00:00:00Z</vt:filetime>
  </property>
  <property fmtid="{D5CDD505-2E9C-101B-9397-08002B2CF9AE}" pid="5" name="Creator">
    <vt:lpwstr>Mozilla/5.0 (Windows NT 6.1; Win64; x64) AppleWebKit/537.36 (KHTML, like Gecko) Chrome/85.0.4183.121 Safari/537.36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2021-03-22T00:00:00Z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