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95" w:rsidRPr="004C0C95" w:rsidRDefault="00193DB8" w:rsidP="004C0C95">
      <w:pPr>
        <w:spacing w:after="100" w:afterAutospacing="1" w:line="240" w:lineRule="auto"/>
        <w:ind w:right="510"/>
        <w:jc w:val="center"/>
        <w:rPr>
          <w:rFonts w:asciiTheme="majorHAnsi" w:eastAsia="Times New Roman" w:hAnsiTheme="majorHAnsi" w:cs="Times New Roman"/>
          <w:sz w:val="18"/>
          <w:szCs w:val="18"/>
          <w:lang w:val="pt-PT" w:eastAsia="pt-BR"/>
        </w:rPr>
      </w:pPr>
      <w:r>
        <w:rPr>
          <w:rFonts w:asciiTheme="majorHAnsi" w:eastAsia="Times New Roman" w:hAnsiTheme="majorHAnsi" w:cs="Arial"/>
          <w:b/>
          <w:bCs/>
          <w:sz w:val="18"/>
          <w:szCs w:val="18"/>
          <w:lang w:val="pt-PT" w:eastAsia="pt-BR"/>
        </w:rPr>
        <w:t xml:space="preserve">ANEXO II - </w:t>
      </w:r>
      <w:r w:rsidR="004C0C95" w:rsidRPr="004C0C95">
        <w:rPr>
          <w:rFonts w:asciiTheme="majorHAnsi" w:eastAsia="Times New Roman" w:hAnsiTheme="majorHAnsi" w:cs="Arial"/>
          <w:b/>
          <w:bCs/>
          <w:sz w:val="18"/>
          <w:szCs w:val="18"/>
          <w:lang w:val="pt-PT" w:eastAsia="pt-BR"/>
        </w:rPr>
        <w:t>TERMO DE REFERÊNCIA</w:t>
      </w:r>
    </w:p>
    <w:p w:rsidR="004C0C95" w:rsidRPr="004C0C95" w:rsidRDefault="004C0C95" w:rsidP="004C0C95">
      <w:pPr>
        <w:spacing w:after="100" w:afterAutospacing="1" w:line="240" w:lineRule="auto"/>
        <w:ind w:right="510"/>
        <w:jc w:val="center"/>
        <w:rPr>
          <w:rFonts w:asciiTheme="majorHAnsi" w:eastAsia="Times New Roman" w:hAnsiTheme="majorHAnsi" w:cs="Times New Roman"/>
          <w:sz w:val="18"/>
          <w:szCs w:val="18"/>
          <w:lang w:val="pt-PT" w:eastAsia="pt-BR"/>
        </w:rPr>
      </w:pPr>
      <w:r w:rsidRPr="004C0C95">
        <w:rPr>
          <w:rFonts w:asciiTheme="majorHAnsi" w:eastAsia="Times New Roman" w:hAnsiTheme="majorHAnsi" w:cs="Times New Roman"/>
          <w:sz w:val="18"/>
          <w:szCs w:val="18"/>
          <w:lang w:val="pt-PT" w:eastAsia="pt-BR"/>
        </w:rPr>
        <w:t> </w:t>
      </w:r>
    </w:p>
    <w:p w:rsidR="004C0C95" w:rsidRPr="004C0C95" w:rsidRDefault="004C0C95" w:rsidP="004C0C95">
      <w:pPr>
        <w:numPr>
          <w:ilvl w:val="0"/>
          <w:numId w:val="1"/>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OBJETO</w:t>
      </w:r>
    </w:p>
    <w:p w:rsidR="004C0C95" w:rsidRPr="004C0C95" w:rsidRDefault="004C0C95" w:rsidP="004C0C95">
      <w:pPr>
        <w:numPr>
          <w:ilvl w:val="1"/>
          <w:numId w:val="2"/>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pacing w:val="2"/>
          <w:sz w:val="18"/>
          <w:szCs w:val="18"/>
          <w:lang w:val="pt-PT" w:eastAsia="pt-BR"/>
        </w:rPr>
        <w:t xml:space="preserve">O presente Termo de Referência estabelece as condições para a </w:t>
      </w:r>
      <w:r w:rsidRPr="004C0C95">
        <w:rPr>
          <w:rFonts w:asciiTheme="majorHAnsi" w:eastAsia="Times New Roman" w:hAnsiTheme="majorHAnsi" w:cs="Arial"/>
          <w:b/>
          <w:bCs/>
          <w:spacing w:val="2"/>
          <w:sz w:val="18"/>
          <w:szCs w:val="18"/>
          <w:lang w:val="pt-PT" w:eastAsia="pt-BR"/>
        </w:rPr>
        <w:t>"CONTRATAÇÃO DE EMPRESA PARA A CONFECÇÃO DE FAIXAS/BANNERS DE PUBLICIDADE A SEREM DISPOSTOS NO ESTADIO MUNICIPAL ALZIRO DE ALMEIDA"</w:t>
      </w:r>
      <w:r w:rsidRPr="004C0C95">
        <w:rPr>
          <w:rFonts w:asciiTheme="majorHAnsi" w:eastAsia="Times New Roman" w:hAnsiTheme="majorHAnsi" w:cs="Arial"/>
          <w:color w:val="000000"/>
          <w:spacing w:val="2"/>
          <w:sz w:val="18"/>
          <w:szCs w:val="18"/>
          <w:lang w:val="pt-PT" w:eastAsia="pt-BR"/>
        </w:rPr>
        <w:t>, descritas a seguir:</w:t>
      </w:r>
    </w:p>
    <w:p w:rsidR="004C0C95" w:rsidRPr="004C0C95" w:rsidRDefault="004C0C95" w:rsidP="004C0C95">
      <w:pPr>
        <w:numPr>
          <w:ilvl w:val="0"/>
          <w:numId w:val="2"/>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DESCRIÇÃO DOS ITENS</w:t>
      </w:r>
    </w:p>
    <w:p w:rsidR="004C0C95" w:rsidRPr="004C0C95" w:rsidRDefault="004C0C95" w:rsidP="004C0C95">
      <w:pPr>
        <w:numPr>
          <w:ilvl w:val="1"/>
          <w:numId w:val="3"/>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itens a serem adquiridos, com as respectivas descrições e estimativa de quantitativos estão indicados na tabela a seguir:</w:t>
      </w:r>
    </w:p>
    <w:tbl>
      <w:tblPr>
        <w:tblW w:w="9645" w:type="dxa"/>
        <w:tblCellSpacing w:w="0" w:type="dxa"/>
        <w:tblInd w:w="1440" w:type="dxa"/>
        <w:tblCellMar>
          <w:top w:w="60" w:type="dxa"/>
          <w:left w:w="60" w:type="dxa"/>
          <w:bottom w:w="60" w:type="dxa"/>
          <w:right w:w="60" w:type="dxa"/>
        </w:tblCellMar>
        <w:tblLook w:val="04A0"/>
      </w:tblPr>
      <w:tblGrid>
        <w:gridCol w:w="1000"/>
        <w:gridCol w:w="7754"/>
        <w:gridCol w:w="891"/>
      </w:tblGrid>
      <w:tr w:rsidR="004C0C95" w:rsidRPr="004C0C95" w:rsidTr="004C0C95">
        <w:trPr>
          <w:tblCellSpacing w:w="0" w:type="dxa"/>
        </w:trPr>
        <w:tc>
          <w:tcPr>
            <w:tcW w:w="9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color w:val="000000"/>
                <w:sz w:val="18"/>
                <w:szCs w:val="18"/>
                <w:lang w:val="pt-PT" w:eastAsia="pt-BR"/>
              </w:rPr>
              <w:t>ITEM</w:t>
            </w:r>
          </w:p>
        </w:tc>
        <w:tc>
          <w:tcPr>
            <w:tcW w:w="744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jc w:val="center"/>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color w:val="000000"/>
                <w:sz w:val="18"/>
                <w:szCs w:val="18"/>
                <w:lang w:val="pt-PT" w:eastAsia="pt-BR"/>
              </w:rPr>
              <w:t>DESCRIÇÃO / ESPECIFICAÇÃO</w:t>
            </w:r>
          </w:p>
        </w:tc>
        <w:tc>
          <w:tcPr>
            <w:tcW w:w="85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color w:val="000000"/>
                <w:sz w:val="18"/>
                <w:szCs w:val="18"/>
                <w:lang w:val="pt-PT" w:eastAsia="pt-BR"/>
              </w:rPr>
              <w:t>QUANT.</w:t>
            </w:r>
          </w:p>
        </w:tc>
      </w:tr>
      <w:tr w:rsidR="004C0C95" w:rsidRPr="004C0C95" w:rsidTr="004C0C95">
        <w:trPr>
          <w:tblCellSpacing w:w="0" w:type="dxa"/>
        </w:trPr>
        <w:tc>
          <w:tcPr>
            <w:tcW w:w="96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01</w:t>
            </w:r>
          </w:p>
        </w:tc>
        <w:tc>
          <w:tcPr>
            <w:tcW w:w="744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comprimento de 250 cm e largura de 330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1</w:t>
            </w:r>
          </w:p>
        </w:tc>
      </w:tr>
      <w:tr w:rsidR="004C0C95" w:rsidRPr="004C0C95" w:rsidTr="004C0C95">
        <w:trPr>
          <w:tblCellSpacing w:w="0" w:type="dxa"/>
        </w:trPr>
        <w:tc>
          <w:tcPr>
            <w:tcW w:w="96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02</w:t>
            </w:r>
          </w:p>
        </w:tc>
        <w:tc>
          <w:tcPr>
            <w:tcW w:w="744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de 425 cm e largura de 750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1</w:t>
            </w:r>
          </w:p>
        </w:tc>
      </w:tr>
      <w:tr w:rsidR="004C0C95" w:rsidRPr="004C0C95" w:rsidTr="004C0C95">
        <w:trPr>
          <w:tblCellSpacing w:w="0" w:type="dxa"/>
        </w:trPr>
        <w:tc>
          <w:tcPr>
            <w:tcW w:w="96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03</w:t>
            </w:r>
          </w:p>
        </w:tc>
        <w:tc>
          <w:tcPr>
            <w:tcW w:w="744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esquerdo de 215 cm, comprimento direito de 425 cm largura superior de 19 metros, base direita de 14,72 metros, base esquerda de 60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1</w:t>
            </w:r>
          </w:p>
        </w:tc>
      </w:tr>
      <w:tr w:rsidR="004C0C95" w:rsidRPr="004C0C95" w:rsidTr="004C0C95">
        <w:trPr>
          <w:tblCellSpacing w:w="0" w:type="dxa"/>
        </w:trPr>
        <w:tc>
          <w:tcPr>
            <w:tcW w:w="96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04</w:t>
            </w:r>
          </w:p>
        </w:tc>
        <w:tc>
          <w:tcPr>
            <w:tcW w:w="744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direito de 228 cm, largura superior de 125 cm, largura inferior de 497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1</w:t>
            </w:r>
          </w:p>
        </w:tc>
      </w:tr>
      <w:tr w:rsidR="004C0C95" w:rsidRPr="004C0C95" w:rsidTr="004C0C95">
        <w:trPr>
          <w:tblCellSpacing w:w="0" w:type="dxa"/>
        </w:trPr>
        <w:tc>
          <w:tcPr>
            <w:tcW w:w="9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05</w:t>
            </w:r>
          </w:p>
        </w:tc>
        <w:tc>
          <w:tcPr>
            <w:tcW w:w="744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de 885 cm e largura de 295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2</w:t>
            </w:r>
          </w:p>
        </w:tc>
      </w:tr>
      <w:tr w:rsidR="004C0C95" w:rsidRPr="004C0C95" w:rsidTr="004C0C95">
        <w:trPr>
          <w:tblCellSpacing w:w="0" w:type="dxa"/>
        </w:trPr>
        <w:tc>
          <w:tcPr>
            <w:tcW w:w="9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06</w:t>
            </w:r>
          </w:p>
        </w:tc>
        <w:tc>
          <w:tcPr>
            <w:tcW w:w="744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de 100 cm e largura de 204 cm,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2</w:t>
            </w:r>
          </w:p>
        </w:tc>
      </w:tr>
      <w:tr w:rsidR="004C0C95" w:rsidRPr="004C0C95" w:rsidTr="004C0C95">
        <w:trPr>
          <w:tblCellSpacing w:w="0" w:type="dxa"/>
        </w:trPr>
        <w:tc>
          <w:tcPr>
            <w:tcW w:w="96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07</w:t>
            </w:r>
          </w:p>
        </w:tc>
        <w:tc>
          <w:tcPr>
            <w:tcW w:w="744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de 100 cm e largura de 900 cm, aplicação: divulgação municipal, gramatura: 440 g com ilhós.</w:t>
            </w:r>
          </w:p>
        </w:tc>
        <w:tc>
          <w:tcPr>
            <w:tcW w:w="85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1</w:t>
            </w:r>
          </w:p>
        </w:tc>
      </w:tr>
      <w:tr w:rsidR="004C0C95" w:rsidRPr="004C0C95" w:rsidTr="004C0C95">
        <w:trPr>
          <w:tblCellSpacing w:w="0" w:type="dxa"/>
        </w:trPr>
        <w:tc>
          <w:tcPr>
            <w:tcW w:w="96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08</w:t>
            </w:r>
          </w:p>
        </w:tc>
        <w:tc>
          <w:tcPr>
            <w:tcW w:w="744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eastAsia="pt-BR"/>
              </w:rPr>
            </w:pPr>
            <w:r w:rsidRPr="004C0C95">
              <w:rPr>
                <w:rFonts w:asciiTheme="majorHAnsi" w:eastAsia="Times New Roman" w:hAnsiTheme="majorHAnsi" w:cs="Arial"/>
                <w:color w:val="000000"/>
                <w:sz w:val="18"/>
                <w:szCs w:val="18"/>
                <w:lang w:eastAsia="pt-BR"/>
              </w:rPr>
              <w:t>Faixa divulgação com arte personalizada, material: lona, com comprimento de 4.68m e largura de 1.88m, aplicação: divulgação municipal, gramatura: 440 g</w:t>
            </w:r>
            <w:proofErr w:type="gramStart"/>
            <w:r w:rsidRPr="004C0C95">
              <w:rPr>
                <w:rFonts w:asciiTheme="majorHAnsi" w:eastAsia="Times New Roman" w:hAnsiTheme="majorHAnsi" w:cs="Arial"/>
                <w:color w:val="000000"/>
                <w:sz w:val="18"/>
                <w:szCs w:val="18"/>
                <w:lang w:eastAsia="pt-BR"/>
              </w:rPr>
              <w:t>, contém</w:t>
            </w:r>
            <w:proofErr w:type="gramEnd"/>
            <w:r w:rsidRPr="004C0C95">
              <w:rPr>
                <w:rFonts w:asciiTheme="majorHAnsi" w:eastAsia="Times New Roman" w:hAnsiTheme="majorHAnsi" w:cs="Arial"/>
                <w:color w:val="000000"/>
                <w:sz w:val="18"/>
                <w:szCs w:val="18"/>
                <w:lang w:eastAsia="pt-BR"/>
              </w:rPr>
              <w:t xml:space="preserve"> ilhós.</w:t>
            </w:r>
          </w:p>
        </w:tc>
        <w:tc>
          <w:tcPr>
            <w:tcW w:w="85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2</w:t>
            </w:r>
          </w:p>
        </w:tc>
      </w:tr>
    </w:tbl>
    <w:p w:rsidR="004C0C95" w:rsidRPr="004C0C95" w:rsidRDefault="004C0C95" w:rsidP="004C0C95">
      <w:pPr>
        <w:numPr>
          <w:ilvl w:val="0"/>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color w:val="000000"/>
          <w:spacing w:val="-4"/>
          <w:sz w:val="18"/>
          <w:szCs w:val="18"/>
          <w:lang w:val="pt-PT" w:eastAsia="pt-BR"/>
        </w:rPr>
        <w:t xml:space="preserve">JUSTIFICATIVA </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Justifica-se a contratação,</w:t>
      </w:r>
      <w:r w:rsidRPr="004C0C95">
        <w:rPr>
          <w:rFonts w:asciiTheme="majorHAnsi" w:eastAsia="Times New Roman" w:hAnsiTheme="majorHAnsi" w:cs="Arial"/>
          <w:color w:val="000000"/>
          <w:sz w:val="18"/>
          <w:szCs w:val="18"/>
          <w:lang w:eastAsia="pt-BR"/>
        </w:rPr>
        <w:t xml:space="preserve"> pela necessidade de dotar o estádio Municipal Alziro de Almeida, cuja capacidade de público é de até 900 (novecentas) pessoas, de instrumentos de comunicação visual, destinados à disseminação de informativos sobre os eventos ali realizados e outros comunicados de interesse da Administração. </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O quantitativo dos materiais solicitados neste termo de referência foi estimado para atender, de forma satisfatória, a demanda desta Secretaria de Esporte e Lazer pelo período de 12 meses.</w:t>
      </w:r>
    </w:p>
    <w:p w:rsidR="004C0C95" w:rsidRPr="004C0C95" w:rsidRDefault="004C0C95" w:rsidP="004C0C95">
      <w:pPr>
        <w:numPr>
          <w:ilvl w:val="0"/>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OBJETIVO</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presente termo de referência tem como objetivo apresentar as especificações do objeto, as condições de contratação, prazo e pagamento relacionados a contratação pretendida.</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lastRenderedPageBreak/>
        <w:t>O critério de julgamento das propostas será o de menor preço global, em razão da unicidade dos itens (mesma natureza, mesma categoria), e em razão da necessidade de se garantir o mesmo padrão visual dos materiais, o que não será garantido caso se tenha mais de um fornecedor para o mesmo tipo de material, cuja forma de produção (insumos e maquinários empregados) poderá resultar em trabalhos visualmente diferentes.</w:t>
      </w:r>
    </w:p>
    <w:p w:rsidR="004C0C95" w:rsidRPr="004C0C95" w:rsidRDefault="004C0C95" w:rsidP="004C0C95">
      <w:pPr>
        <w:numPr>
          <w:ilvl w:val="0"/>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CLASSIFICAÇÃO DOS SERVIÇOS</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bens e serviços que constituem o objeto deste Termo de Referência enquadram-se no conceito de bens e serviços comuns, nos termos do art. 1° da Lei 10.520/02, onde os requisitos técnicos são suficientes para determinar o conjunto da solução escolhida, constatando-se, ainda, que a solução é fornecida por mais de uma empresa no mercado.</w:t>
      </w:r>
    </w:p>
    <w:p w:rsidR="004C0C95" w:rsidRPr="004C0C95" w:rsidRDefault="004C0C95" w:rsidP="004C0C95">
      <w:pPr>
        <w:numPr>
          <w:ilvl w:val="0"/>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 EXECUÇÃO E CONDIÇÕES DO SERVIÇO</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serviços a serem executados incluem, além da impressão: editoração eletrônica; diagramação; criação de arte-final (arte mínima) a partir da arte disponibilizada pela Secretaria Municipal de Comunicação; produção de provas gráficas (de cor e montagem); acabamento, embalagem e empacotamento dos materiais impressos, transporte e entrega dos materiais impressos, além da instalação nos locais a serem definidos na entrega pela Secretaria Municipal de Esporte e Lazer;</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modelo da arte e/ou layout a ser impressa (devidamente aprovada) será enviada juntamente com a Ordem de Fornecimento, em meio impresso ou em arquivo eletrônico;</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Contratada é responsável pela produção da arte final necessária à confecção do material a ser impresso;</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Recebida a Ordem de Fornecimento e o modelo desenvolvido para a Secretaria Municipal de Esporte e Lazer, a Contratada/ Fornecedora Registrada deverá elaborar a prova da arte final a ser impressa e encaminhá-la à Secretaria para aprovação;</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prova da arte final poderá ser encaminhada em arquivo eletrônico ou impressa em papel comum, devendo possibilitar a verificação das características da arte a ser impressa no banner/faixa, tais como: cores da impressão, diagramação, padrões de fonte dos textos, etc;</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critério da Secretaria Municipal de Esporte e Lazer poderá ser requerida a apresentação de amostra do material a ser empregado na confecção do banner ou faixa, por exemplo: lona ou material de acabamento, para fins de verificação da qualidade do material a ser utilizado pela Contratada/Fornecedora Registrada;</w:t>
      </w:r>
    </w:p>
    <w:p w:rsidR="004C0C95" w:rsidRPr="004C0C95" w:rsidRDefault="004C0C95" w:rsidP="004C0C95">
      <w:pPr>
        <w:numPr>
          <w:ilvl w:val="1"/>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Secretaria analisará a prova da arte final encaminhada:</w:t>
      </w:r>
    </w:p>
    <w:p w:rsidR="004C0C95" w:rsidRPr="004C0C95" w:rsidRDefault="004C0C95" w:rsidP="004C0C95">
      <w:pPr>
        <w:numPr>
          <w:ilvl w:val="2"/>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Aprovada a prova da arte final, informará à empresa para que providencie a confecção e a entrega dos materiais na totalidade constante na requisição emitida;</w:t>
      </w:r>
    </w:p>
    <w:p w:rsidR="004C0C95" w:rsidRPr="004C0C95" w:rsidRDefault="004C0C95" w:rsidP="004C0C95">
      <w:pPr>
        <w:numPr>
          <w:ilvl w:val="2"/>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lastRenderedPageBreak/>
        <w:t>A arte final aprovada deverá ser entregue em arquivo eletrônico, de forma a viabilizar a sua utilização para eventual impressão futura de material similar;</w:t>
      </w:r>
    </w:p>
    <w:p w:rsidR="004C0C95" w:rsidRPr="004C0C95" w:rsidRDefault="004C0C95" w:rsidP="004C0C95">
      <w:pPr>
        <w:numPr>
          <w:ilvl w:val="2"/>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Em caso de reprovação da prova da arte final, a Secretaria apontará a(s) desconformidade(s) verificada(s) e notificará a empresa sobre a necessidade do envio de nova prova.</w:t>
      </w:r>
    </w:p>
    <w:p w:rsidR="004C0C95" w:rsidRPr="004C0C95" w:rsidRDefault="004C0C95" w:rsidP="004C0C95">
      <w:pPr>
        <w:numPr>
          <w:ilvl w:val="0"/>
          <w:numId w:val="3"/>
        </w:numPr>
        <w:spacing w:before="119" w:after="119" w:line="360" w:lineRule="auto"/>
        <w:ind w:right="510"/>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CONDIÇÕES, CRITÉRIO DE ACEITAÇÃO E ENTREGA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 xml:space="preserve">Os bens deverão ser entregues nas dependências da Secretaria Municipal de Esporte e Lazer, localizada na </w:t>
      </w:r>
      <w:r w:rsidRPr="004C0C95">
        <w:rPr>
          <w:rFonts w:asciiTheme="majorHAnsi" w:eastAsia="Times New Roman" w:hAnsiTheme="majorHAnsi" w:cs="Arial"/>
          <w:sz w:val="18"/>
          <w:szCs w:val="18"/>
          <w:lang w:val="pt-PT" w:eastAsia="pt-BR"/>
        </w:rPr>
        <w:t>Rua João Feliciano da Costa, nº 132, Centro, Itaboraí - RJ, CEP 24800-017.(Prédio Verde), de segunda a sexta-feira, das 8 às 16 horas e mediante prévio agendamento.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O recebimento provisório e definitivo dos bens devem ser realizados conforme o disposto nos arts. 73 a 76 da Lei nº 8.666, de 1993, e em consonância com as regras definidas neste Termo de Referência;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Provisoriamente, no prazo de 5 (cinco) dias úteis contados da entrega, para efeito de posterior verificação da conformidade do objeto com as especificações e com a proposta;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Definitivamente, no prazo máximo de 5 (cinco) dias úteis, contados do recebimento provisório;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As entregas deverão atender o prazo determinado na ordem de serviço, devendo ser agendadas com a Secretaria;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O contratante, por meio da fiscalização da execução das obrigações contratuais ou decorrentes da ata de registro de preços, reserva-se o direito de rejeitar, integralmente ou em parte, os bens que não atendam aos quantitativos ou às especificações técnicas do objeto licitado, devendo ser substituídos no prazo de 5 (cinco) dias, a contar da notificação do contratado, às suas custas, sem prejuízo da aplicação das penalidades decorrentes do cumprimento irregular do contrato/ata;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Caso seja necessária a substituição de alguma unidade fornecida, por qualquer motivo, as novas unidades devem apresentar padrões de qualidade e desempenho iguais ou superiores aos constantes na proposta original;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A Contratada deverá se responsabilizar pelas despesas de transporte, retirada e devolução dos itens substituídos, sem ônus adicional para o contratante;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A solicitação para substituição de unidades defeituosas deverá ser recebida e identificada pela Contratada/Fornecedora Registrada para contínuo acompanhamento pelo contratante dos prazos para a substituição;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Os chamados mencionados neste capítulo serão realizados por telefone, e-mail, fax ou outro meio hábil de comunicação;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shd w:val="clear" w:color="auto" w:fill="FFFFFF"/>
          <w:lang w:val="pt-PT" w:eastAsia="pt-BR"/>
        </w:rPr>
        <w:t xml:space="preserve">Quaisquer exigências da fiscalização, inerentes ao objeto do Contrato/Ata, deverão ser prontamente atendidas pelo contratado, sem ônus para o contratante. O </w:t>
      </w:r>
      <w:r w:rsidRPr="004C0C95">
        <w:rPr>
          <w:rFonts w:asciiTheme="majorHAnsi" w:eastAsia="Times New Roman" w:hAnsiTheme="majorHAnsi" w:cs="Arial"/>
          <w:color w:val="000000"/>
          <w:sz w:val="18"/>
          <w:szCs w:val="18"/>
          <w:shd w:val="clear" w:color="auto" w:fill="FFFFFF"/>
          <w:lang w:val="pt-PT" w:eastAsia="pt-BR"/>
        </w:rPr>
        <w:lastRenderedPageBreak/>
        <w:t>fornecimento do quantitativo ocorrerá de forma parcelada, durante o prazo de vigência do contrato/ata e de acordo com as solicitações do Contratante.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atrasos na entrega ocasionados por motivo de força maior ou caso fortuito, desde que justificados até 01 (um) dia útil antes do término do prazo de entrega e aceitos pela Fiscalização, não serão considerados como inadimplemento contratual;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Contratado deverá anexar à nota fiscal uma cópia da solicitação de fornecimento, e da nota de empenho no momento da entrega dos bens;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w:t>
      </w:r>
      <w:r w:rsidRPr="004C0C95">
        <w:rPr>
          <w:rFonts w:asciiTheme="majorHAnsi" w:eastAsia="Times New Roman" w:hAnsiTheme="majorHAnsi" w:cs="Arial"/>
          <w:color w:val="000000"/>
          <w:sz w:val="18"/>
          <w:szCs w:val="18"/>
          <w:lang w:val="pt-PT" w:eastAsia="pt-BR"/>
        </w:rPr>
        <w:t xml:space="preserve"> fiscalização da execução das entregas dos bens caberá aos servidores(ras) designados pelo ordenador de despesas através de portaria.</w:t>
      </w:r>
    </w:p>
    <w:p w:rsidR="004C0C95" w:rsidRPr="004C0C95" w:rsidRDefault="004C0C95" w:rsidP="004C0C95">
      <w:pPr>
        <w:numPr>
          <w:ilvl w:val="0"/>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color w:val="000000"/>
          <w:sz w:val="18"/>
          <w:szCs w:val="18"/>
          <w:lang w:val="pt-PT" w:eastAsia="pt-BR"/>
        </w:rPr>
        <w:t>DA FORMALIZAÇÃO E VIGÊNCIA DO CONTRATO/ATA DE REGISTRO DE PREÇO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Para a aquisição dos produtos serão emitidas ordens de fornecimento, em conformidade com os quantitativos registrados em Contrato e de acordo com a necessidade da Secretaria contratante;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A Ata de Registro de Preços / Contrato terá vigência de 1 (um) ano.</w:t>
      </w:r>
    </w:p>
    <w:p w:rsidR="004C0C95" w:rsidRPr="004C0C95" w:rsidRDefault="004C0C95" w:rsidP="004C0C95">
      <w:pPr>
        <w:numPr>
          <w:ilvl w:val="0"/>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DAS OBRIGAÇÕES DA CONTRATANTE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São obrigações da Contratante</w:t>
      </w:r>
    </w:p>
    <w:p w:rsidR="004C0C95" w:rsidRPr="004C0C95" w:rsidRDefault="004C0C95" w:rsidP="004C0C95">
      <w:pPr>
        <w:numPr>
          <w:ilvl w:val="2"/>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Receber o objeto no prazo e condições estabelecidas neste Termo de Referência e seus anexos;</w:t>
      </w:r>
    </w:p>
    <w:p w:rsidR="004C0C95" w:rsidRPr="004C0C95" w:rsidRDefault="004C0C95" w:rsidP="004C0C95">
      <w:pPr>
        <w:numPr>
          <w:ilvl w:val="2"/>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Verificar minuciosamente, no prazo fixado, a conformidade dos bens recebidos provisoriamente com as especificações constantes do Edital e da proposta, para fins de aceitação e recebimento definitivo;</w:t>
      </w:r>
    </w:p>
    <w:p w:rsidR="004C0C95" w:rsidRPr="004C0C95" w:rsidRDefault="004C0C95" w:rsidP="004C0C95">
      <w:pPr>
        <w:numPr>
          <w:ilvl w:val="2"/>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 xml:space="preserve">Comunicar ao </w:t>
      </w:r>
      <w:r w:rsidRPr="004C0C95">
        <w:rPr>
          <w:rFonts w:asciiTheme="majorHAnsi" w:eastAsia="Times New Roman" w:hAnsiTheme="majorHAnsi" w:cs="Arial"/>
          <w:b/>
          <w:bCs/>
          <w:sz w:val="18"/>
          <w:szCs w:val="18"/>
          <w:lang w:val="pt-PT" w:eastAsia="pt-BR"/>
        </w:rPr>
        <w:t>Contratado</w:t>
      </w:r>
      <w:r w:rsidRPr="004C0C95">
        <w:rPr>
          <w:rFonts w:asciiTheme="majorHAnsi" w:eastAsia="Times New Roman" w:hAnsiTheme="majorHAnsi" w:cs="Arial"/>
          <w:sz w:val="18"/>
          <w:szCs w:val="18"/>
          <w:lang w:val="pt-PT" w:eastAsia="pt-BR"/>
        </w:rPr>
        <w:t>, por escrito, via e-mail ou outro canal disponibilizado à Contratante sobre imperfeições, falhas ou irregularidades verificadas no objeto fornecido, para que seja substituído, reparado ou corrigido em até 5(cinco) dias da comunicação;</w:t>
      </w:r>
    </w:p>
    <w:p w:rsidR="004C0C95" w:rsidRPr="004C0C95" w:rsidRDefault="004C0C95" w:rsidP="004C0C95">
      <w:pPr>
        <w:numPr>
          <w:ilvl w:val="2"/>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 xml:space="preserve">Acompanhar e fiscalizar o cumprimento das obrigações do </w:t>
      </w:r>
      <w:r w:rsidRPr="004C0C95">
        <w:rPr>
          <w:rFonts w:asciiTheme="majorHAnsi" w:eastAsia="Times New Roman" w:hAnsiTheme="majorHAnsi" w:cs="Arial"/>
          <w:b/>
          <w:bCs/>
          <w:sz w:val="18"/>
          <w:szCs w:val="18"/>
          <w:lang w:val="pt-PT" w:eastAsia="pt-BR"/>
        </w:rPr>
        <w:t>Contratado</w:t>
      </w:r>
      <w:r w:rsidRPr="004C0C95">
        <w:rPr>
          <w:rFonts w:asciiTheme="majorHAnsi" w:eastAsia="Times New Roman" w:hAnsiTheme="majorHAnsi" w:cs="Arial"/>
          <w:sz w:val="18"/>
          <w:szCs w:val="18"/>
          <w:lang w:val="pt-PT" w:eastAsia="pt-BR"/>
        </w:rPr>
        <w:t>, através de comissão/servidor especialmente designado;</w:t>
      </w:r>
    </w:p>
    <w:p w:rsidR="004C0C95" w:rsidRPr="004C0C95" w:rsidRDefault="004C0C95" w:rsidP="004C0C95">
      <w:pPr>
        <w:numPr>
          <w:ilvl w:val="2"/>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Efetuar o pagamento ao</w:t>
      </w:r>
      <w:r w:rsidRPr="004C0C95">
        <w:rPr>
          <w:rFonts w:asciiTheme="majorHAnsi" w:eastAsia="Times New Roman" w:hAnsiTheme="majorHAnsi" w:cs="Arial"/>
          <w:b/>
          <w:bCs/>
          <w:sz w:val="18"/>
          <w:szCs w:val="18"/>
          <w:lang w:val="pt-PT" w:eastAsia="pt-BR"/>
        </w:rPr>
        <w:t xml:space="preserve"> Contratado</w:t>
      </w:r>
      <w:r w:rsidRPr="004C0C95">
        <w:rPr>
          <w:rFonts w:asciiTheme="majorHAnsi" w:eastAsia="Times New Roman" w:hAnsiTheme="majorHAnsi" w:cs="Arial"/>
          <w:sz w:val="18"/>
          <w:szCs w:val="18"/>
          <w:lang w:val="pt-PT" w:eastAsia="pt-BR"/>
        </w:rPr>
        <w:t xml:space="preserve"> no valor correspondente aos bens entregues, no prazo e forma estabelecidos neste Termo de Referência e seus anexos.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Administração não responderá por quaisquer compromissos assumidos pelo Contratado com terceiros, ainda que vinculados à execução do presente Termo de Contrato/Ata de Registro de Preço, bem como por qualquer dano causado a terceiros em decorrência de ato do Contratado, de seus empregados, prepostos ou subordinados.</w:t>
      </w:r>
    </w:p>
    <w:p w:rsidR="004C0C95" w:rsidRDefault="004C0C95" w:rsidP="004C0C95">
      <w:pPr>
        <w:spacing w:before="119" w:after="119" w:line="360" w:lineRule="auto"/>
        <w:ind w:left="720" w:right="567"/>
        <w:rPr>
          <w:rFonts w:asciiTheme="majorHAnsi" w:eastAsia="Times New Roman" w:hAnsiTheme="majorHAnsi" w:cs="Arial"/>
          <w:sz w:val="18"/>
          <w:szCs w:val="18"/>
          <w:lang w:val="pt-PT" w:eastAsia="pt-BR"/>
        </w:rPr>
      </w:pPr>
    </w:p>
    <w:p w:rsidR="004C0C95" w:rsidRDefault="004C0C95" w:rsidP="004C0C95">
      <w:pPr>
        <w:spacing w:before="119" w:after="119" w:line="360" w:lineRule="auto"/>
        <w:ind w:left="720" w:right="567"/>
        <w:rPr>
          <w:rFonts w:asciiTheme="majorHAnsi" w:eastAsia="Times New Roman" w:hAnsiTheme="majorHAnsi" w:cs="Arial"/>
          <w:sz w:val="18"/>
          <w:szCs w:val="18"/>
          <w:lang w:val="pt-PT" w:eastAsia="pt-BR"/>
        </w:rPr>
      </w:pPr>
    </w:p>
    <w:p w:rsidR="004C0C95" w:rsidRPr="004C0C95" w:rsidRDefault="004C0C95" w:rsidP="004C0C95">
      <w:pPr>
        <w:spacing w:before="119" w:after="119" w:line="360" w:lineRule="auto"/>
        <w:ind w:left="720" w:right="567"/>
        <w:rPr>
          <w:rFonts w:asciiTheme="majorHAnsi" w:eastAsia="Times New Roman" w:hAnsiTheme="majorHAnsi" w:cs="Times New Roman"/>
          <w:sz w:val="18"/>
          <w:szCs w:val="18"/>
          <w:lang w:val="pt-PT" w:eastAsia="pt-BR"/>
        </w:rPr>
      </w:pPr>
    </w:p>
    <w:p w:rsidR="004C0C95" w:rsidRPr="004C0C95" w:rsidRDefault="004C0C95" w:rsidP="004C0C95">
      <w:pPr>
        <w:numPr>
          <w:ilvl w:val="0"/>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lastRenderedPageBreak/>
        <w:t>DAS OBRIGAÇÕES DO CONTRATADO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Contratado deve cumprir todas as obrigações constantes neste Termo de Referência, seus anexos e sua proposta, assumindo como exclusivamente seus os riscos e as despesas decorrentes da boa e perfeita execução do objeto e, ainda: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Efetuar a entrega dos bens devidamente embalados, íntegros e em perfeitas condições de uso em embalagem que garanta a proteção do produto contra poeira e umidade, adequados às especificações contidas neste Termo de Referência e na proposta, no prazo e local indicados, acompanhado da respectiva nota fiscal;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Entregar os impressos gradativamente, de acordo com a solicitação da SEMEL;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Responsabilizar-se pelos vícios e danos decorrentes do objeto, de acordo com o Código de Defesa do Consumidor (Leinº8.078/90);</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Substituir ou reparar, no prazo de 5 dias contados da notificação, o objeto entregue que comprovadamente apresente defeito ou esteja em desconformidade com as especificações deste termo e padrões de qualidade exigidos, às suas expensas, no total ou em parte, o objeto do ajuste, quando se verificarem vícios, defeitos ou incorreções, ainda que constatadas após o recebimento definitivo e/ou pagamento, arcando com todas as despesas decorrentes destas providências;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Comunicar à Contratante, no prazo máximo de 24 (vinte e quatro) horas que antecede a data da entrega, os motivos que impossibilitem o cumprimento do prazo previsto, com a devida comprovação;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Prestar imediatamente as informações e os esclarecimentos que venham a ser solicitados pela CONTRATANTE, salvo quando implicarem as indagações de caráter técnico, hipótese em que serão respondidas no prazo de 24 (vinte e quatro) horas;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CONTRATADO não poderá subcontratar, ceder ou transferir o Objeto do Contrato/ata, no todo ou em parte a terceiros, sem anuência da CONTRATANTE, sob pena de rescisão;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Cumprir, quando for o caso, as condições de garantia do objeto, responsabilizando-se pelo período oferecido em sua proposta comercial, observando o prazo mínimo exigido pela administração;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Responder por todas as despesas diretas e indiretas que incidam ou venham a incidir sobre a execução contratual, tais como taxas, fretes,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na execução contratual, ficando a CONTRATANTE isenta de qualquer vínculo empregatício com os mesmos;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 xml:space="preserve">Responsabilizar-se pelos danos causados diretamente à CONTRATANTE ou a terceiros, decorrentes da sua culpa ou dolo, quando da execução do objeto, independente dos procedimentos de fiscalização e acompanhamento da execução </w:t>
      </w:r>
      <w:r w:rsidRPr="004C0C95">
        <w:rPr>
          <w:rFonts w:asciiTheme="majorHAnsi" w:eastAsia="Times New Roman" w:hAnsiTheme="majorHAnsi" w:cs="Arial"/>
          <w:sz w:val="18"/>
          <w:szCs w:val="18"/>
          <w:lang w:val="pt-PT" w:eastAsia="pt-BR"/>
        </w:rPr>
        <w:lastRenderedPageBreak/>
        <w:t>contratual, e independente de outras cominações contratuais ou legais as quais estiver sujeita;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Aceitar, nas mesmas condições contratuais, os percentuais de acréscimos ou supressões limitados ao estabelecido no § 1º do Art. 65, da Lei Federal 8.666/93, tomando-se por base o valor contratual;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Manter,durante toda a execução do contrato/ata, em compatibilidade com as obrigações assumidas, todas as condições de habilitação e qualificação exigidas na licitação;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Indicar preposto para representá-la durante a execução do contrato/ata.</w:t>
      </w:r>
    </w:p>
    <w:p w:rsidR="004C0C95" w:rsidRPr="004C0C95" w:rsidRDefault="004C0C95" w:rsidP="004C0C95">
      <w:pPr>
        <w:numPr>
          <w:ilvl w:val="0"/>
          <w:numId w:val="3"/>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 SUBCONTRATAÇÃO</w:t>
      </w:r>
    </w:p>
    <w:p w:rsidR="004C0C95" w:rsidRPr="004C0C95" w:rsidRDefault="004C0C95" w:rsidP="004C0C95">
      <w:pPr>
        <w:numPr>
          <w:ilvl w:val="1"/>
          <w:numId w:val="3"/>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Não será admitida a subcontratação.</w:t>
      </w:r>
    </w:p>
    <w:p w:rsidR="004C0C95" w:rsidRPr="004C0C95" w:rsidRDefault="004C0C95" w:rsidP="004C0C95">
      <w:pPr>
        <w:numPr>
          <w:ilvl w:val="0"/>
          <w:numId w:val="3"/>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ALTERAÇÃO SUBJETIVA</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É admissível a fusão, cisão ou incorporação do contratado com/em outra pessoa jurídica, desde que sejam observados pela nova pessoa todos os requisitos de habilitação exigidos na licitação original; sejam mantidas as demais cláusulas e condições do contrato, não haja prejuízo à execução do objeto pactuado, e haja anuência expressa da Administração Pública quanto à continuidade do contrato administrativo.</w:t>
      </w:r>
    </w:p>
    <w:p w:rsidR="004C0C95" w:rsidRPr="004C0C95" w:rsidRDefault="004C0C95" w:rsidP="004C0C95">
      <w:pPr>
        <w:numPr>
          <w:ilvl w:val="0"/>
          <w:numId w:val="3"/>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DO CONTROLE E FISCALIZAÇÃO DA EXECUÇÃO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nº8.666, de 1993;</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representante da Administração anotará em registro próprio todas as ocorrências relacionadas com a execução do contrato/ata, indicando dia, mês e ano,bem como o nome dos funcionários eventualmente envolvidos, determinando o que for necessário à regularização das falhas ou de feitos observados e encaminhando os apontamentos à autoridade competente para as providências cabíveis;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descumprimento total ou parcial das obrigações e responsabilidades assumidas pelo</w:t>
      </w:r>
      <w:r w:rsidRPr="004C0C95">
        <w:rPr>
          <w:rFonts w:asciiTheme="majorHAnsi" w:eastAsia="Times New Roman" w:hAnsiTheme="majorHAnsi" w:cs="Arial"/>
          <w:b/>
          <w:bCs/>
          <w:sz w:val="18"/>
          <w:szCs w:val="18"/>
          <w:lang w:val="pt-PT" w:eastAsia="pt-BR"/>
        </w:rPr>
        <w:t xml:space="preserve"> Contratado</w:t>
      </w:r>
      <w:r w:rsidRPr="004C0C95">
        <w:rPr>
          <w:rFonts w:asciiTheme="majorHAnsi" w:eastAsia="Times New Roman" w:hAnsiTheme="majorHAnsi" w:cs="Arial"/>
          <w:sz w:val="18"/>
          <w:szCs w:val="18"/>
          <w:lang w:val="pt-PT" w:eastAsia="pt-BR"/>
        </w:rPr>
        <w:t xml:space="preserve"> ensejará a aplicação de sanções administrativas, previstas neste Termo de Referência e na legislação vigente, podendo culminar no cancelamento do contrato caso o contratado venha a sofrer “sanção prevista nos incisos III ou IV do caput do art. 87 da Lei 8.666, de 1993, ou no art. 7º da Lei nº 10.520, de 2002”;</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lastRenderedPageBreak/>
        <w:t>As atividades de fiscalização devem ser realizadas de forma preventiva, rotineira e sistemática no momento das entregas dos itens a serem adquiridos;</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fiscalização deverá verificar se os materiais atendem as especificações técnicas descritas neste termo e na proposta da contratada/fornecedora registrada.</w:t>
      </w:r>
    </w:p>
    <w:p w:rsidR="004C0C95" w:rsidRPr="004C0C95" w:rsidRDefault="004C0C95" w:rsidP="004C0C95">
      <w:pPr>
        <w:numPr>
          <w:ilvl w:val="0"/>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CRITÉRIOS E PRÁTICAS DE SUSTENTABILIDADE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 xml:space="preserve">O Contratado deve colaborar, quando couber, à promoção do desenvolvimento nacional sustentável no cumprimento de diretrizes e critérios de sustentabilidade ambiental, de acordo com art. 255 da Constituição Federal/88, e em conformidade com art. da lei 8.666/93 e </w:t>
      </w:r>
      <w:r w:rsidRPr="004C0C95">
        <w:rPr>
          <w:rFonts w:asciiTheme="majorHAnsi" w:eastAsia="Times New Roman" w:hAnsiTheme="majorHAnsi" w:cs="Arial"/>
          <w:sz w:val="18"/>
          <w:szCs w:val="18"/>
          <w:lang w:val="pt-PT" w:eastAsia="pt-BR"/>
        </w:rPr>
        <w:t>conforme orientações do Cap. III - DOS BENS E SERVIÇOS - art. 5° da IN n°01/2010 (Compras Sustentáveis).</w:t>
      </w:r>
    </w:p>
    <w:p w:rsidR="004C0C95" w:rsidRPr="004C0C95" w:rsidRDefault="004C0C95" w:rsidP="004C0C95">
      <w:pPr>
        <w:numPr>
          <w:ilvl w:val="0"/>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DO PAGAMENTO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pagamento será realizado no prazo máximo de 30 (trinta) dias, contados a partir do requerimento no protocolo da Administração Municipal, o qual deverá ser instruído com a nota fiscal, a cópia da nota de empenho e da ordem de fornecimento assinada pela fiscalização, além das certidões de regularidade fiscal, tributária, trabalhista e previdenciária do Contratado.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Considera-se ocorrido o recebimento da nota fiscal ou fatura no momento em que a fiscalização manifestar seu atesto.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Será considera da data do pagamento o dia em que constar como emitida a ordem bancária para pagamento.</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Quando do pagamento, será efetuada a retenção tributária prevista na legislação aplicável.</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0C95" w:rsidRPr="004C0C95" w:rsidRDefault="004C0C95" w:rsidP="004C0C95">
      <w:pPr>
        <w:numPr>
          <w:ilvl w:val="1"/>
          <w:numId w:val="3"/>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rsidR="004C0C95" w:rsidRPr="004C0C95" w:rsidRDefault="004C0C95" w:rsidP="004C0C95">
      <w:pPr>
        <w:spacing w:before="119" w:after="119" w:line="360" w:lineRule="auto"/>
        <w:ind w:left="425"/>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lastRenderedPageBreak/>
        <w:t>EM = I x N x VP, sendo:</w:t>
      </w:r>
    </w:p>
    <w:p w:rsidR="004C0C95" w:rsidRPr="004C0C95" w:rsidRDefault="004C0C95" w:rsidP="004C0C95">
      <w:pPr>
        <w:spacing w:before="119" w:after="119" w:line="360" w:lineRule="auto"/>
        <w:ind w:left="425"/>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EM = Encargos moratórios;</w:t>
      </w:r>
    </w:p>
    <w:p w:rsidR="004C0C95" w:rsidRPr="004C0C95" w:rsidRDefault="004C0C95" w:rsidP="004C0C95">
      <w:pPr>
        <w:spacing w:before="119" w:after="119" w:line="360" w:lineRule="auto"/>
        <w:ind w:left="425"/>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N = Número de dias entre a data prevista para o pagamento e a do efetivo pagamento;</w:t>
      </w:r>
    </w:p>
    <w:p w:rsidR="004C0C95" w:rsidRPr="004C0C95" w:rsidRDefault="004C0C95" w:rsidP="004C0C95">
      <w:pPr>
        <w:spacing w:before="119" w:after="119" w:line="360" w:lineRule="auto"/>
        <w:ind w:left="425"/>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VP = Valor da parcela a ser paga.</w:t>
      </w:r>
    </w:p>
    <w:p w:rsidR="004C0C95" w:rsidRPr="004C0C95" w:rsidRDefault="004C0C95" w:rsidP="004C0C95">
      <w:pPr>
        <w:spacing w:before="119" w:after="119" w:line="360" w:lineRule="auto"/>
        <w:ind w:left="425"/>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I = Índice de compensação financeira = 0,00016438, assim apurado:</w:t>
      </w:r>
    </w:p>
    <w:tbl>
      <w:tblPr>
        <w:tblW w:w="8640" w:type="dxa"/>
        <w:tblCellSpacing w:w="0" w:type="dxa"/>
        <w:tblInd w:w="720" w:type="dxa"/>
        <w:tblCellMar>
          <w:top w:w="105" w:type="dxa"/>
          <w:left w:w="105" w:type="dxa"/>
          <w:bottom w:w="105" w:type="dxa"/>
          <w:right w:w="105" w:type="dxa"/>
        </w:tblCellMar>
        <w:tblLook w:val="04A0"/>
      </w:tblPr>
      <w:tblGrid>
        <w:gridCol w:w="2144"/>
        <w:gridCol w:w="399"/>
        <w:gridCol w:w="1146"/>
        <w:gridCol w:w="4951"/>
      </w:tblGrid>
      <w:tr w:rsidR="004C0C95" w:rsidRPr="004C0C95" w:rsidTr="004C0C95">
        <w:trPr>
          <w:tblCellSpacing w:w="0" w:type="dxa"/>
        </w:trPr>
        <w:tc>
          <w:tcPr>
            <w:tcW w:w="1935" w:type="dxa"/>
            <w:tcBorders>
              <w:top w:val="nil"/>
              <w:left w:val="nil"/>
              <w:bottom w:val="nil"/>
              <w:right w:val="nil"/>
            </w:tcBorders>
            <w:tcMar>
              <w:top w:w="0" w:type="dxa"/>
              <w:left w:w="0" w:type="dxa"/>
              <w:bottom w:w="0" w:type="dxa"/>
              <w:right w:w="0" w:type="dxa"/>
            </w:tcMar>
            <w:vAlign w:val="center"/>
            <w:hideMark/>
          </w:tcPr>
          <w:p w:rsidR="004C0C95" w:rsidRPr="004C0C95" w:rsidRDefault="004C0C95" w:rsidP="004C0C95">
            <w:pPr>
              <w:spacing w:before="119" w:after="100" w:afterAutospacing="1" w:line="240" w:lineRule="auto"/>
              <w:jc w:val="center"/>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eastAsia="pt-BR"/>
              </w:rPr>
              <w:t>I = (TX)</w:t>
            </w:r>
          </w:p>
        </w:tc>
        <w:tc>
          <w:tcPr>
            <w:tcW w:w="360" w:type="dxa"/>
            <w:tcBorders>
              <w:top w:val="nil"/>
              <w:left w:val="nil"/>
              <w:bottom w:val="nil"/>
              <w:right w:val="nil"/>
            </w:tcBorders>
            <w:tcMar>
              <w:top w:w="0" w:type="dxa"/>
              <w:left w:w="0" w:type="dxa"/>
              <w:bottom w:w="0" w:type="dxa"/>
              <w:right w:w="0" w:type="dxa"/>
            </w:tcMar>
            <w:vAlign w:val="cente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eastAsia="pt-BR"/>
              </w:rPr>
              <w:t>I =</w:t>
            </w:r>
          </w:p>
        </w:tc>
        <w:tc>
          <w:tcPr>
            <w:tcW w:w="1035" w:type="dxa"/>
            <w:tcBorders>
              <w:top w:val="nil"/>
              <w:left w:val="nil"/>
              <w:bottom w:val="single" w:sz="6" w:space="0" w:color="auto"/>
              <w:right w:val="nil"/>
            </w:tcBorders>
            <w:tcMar>
              <w:top w:w="0" w:type="dxa"/>
              <w:left w:w="0" w:type="dxa"/>
              <w:bottom w:w="0" w:type="dxa"/>
              <w:right w:w="0" w:type="dxa"/>
            </w:tcMar>
            <w:hideMark/>
          </w:tcPr>
          <w:p w:rsidR="004C0C95" w:rsidRPr="004C0C95" w:rsidRDefault="004C0C95" w:rsidP="004C0C95">
            <w:pPr>
              <w:spacing w:before="119" w:after="100" w:afterAutospacing="1" w:line="240" w:lineRule="auto"/>
              <w:jc w:val="center"/>
              <w:rPr>
                <w:rFonts w:asciiTheme="majorHAnsi" w:eastAsia="Times New Roman" w:hAnsiTheme="majorHAnsi" w:cs="Times New Roman"/>
                <w:sz w:val="18"/>
                <w:szCs w:val="18"/>
                <w:lang w:val="pt-PT" w:eastAsia="pt-BR"/>
              </w:rPr>
            </w:pPr>
            <w:proofErr w:type="gramStart"/>
            <w:r w:rsidRPr="004C0C95">
              <w:rPr>
                <w:rFonts w:asciiTheme="majorHAnsi" w:eastAsia="Times New Roman" w:hAnsiTheme="majorHAnsi" w:cs="Arial"/>
                <w:color w:val="000000"/>
                <w:sz w:val="18"/>
                <w:szCs w:val="18"/>
                <w:lang w:eastAsia="pt-BR"/>
              </w:rPr>
              <w:t xml:space="preserve">( </w:t>
            </w:r>
            <w:proofErr w:type="gramEnd"/>
            <w:r w:rsidRPr="004C0C95">
              <w:rPr>
                <w:rFonts w:asciiTheme="majorHAnsi" w:eastAsia="Times New Roman" w:hAnsiTheme="majorHAnsi" w:cs="Arial"/>
                <w:color w:val="000000"/>
                <w:sz w:val="18"/>
                <w:szCs w:val="18"/>
                <w:lang w:eastAsia="pt-BR"/>
              </w:rPr>
              <w:t>6 / 100 )</w:t>
            </w:r>
          </w:p>
        </w:tc>
        <w:tc>
          <w:tcPr>
            <w:tcW w:w="4470" w:type="dxa"/>
            <w:tcBorders>
              <w:top w:val="nil"/>
              <w:left w:val="nil"/>
              <w:bottom w:val="nil"/>
              <w:right w:val="nil"/>
            </w:tcBorders>
            <w:tcMar>
              <w:top w:w="0" w:type="dxa"/>
              <w:left w:w="0" w:type="dxa"/>
              <w:bottom w:w="0" w:type="dxa"/>
              <w:right w:w="0" w:type="dxa"/>
            </w:tcMar>
            <w:vAlign w:val="center"/>
            <w:hideMark/>
          </w:tcPr>
          <w:p w:rsidR="004C0C95" w:rsidRPr="004C0C95" w:rsidRDefault="004C0C95" w:rsidP="004C0C95">
            <w:pPr>
              <w:spacing w:before="119" w:after="119" w:line="240" w:lineRule="auto"/>
              <w:ind w:left="743"/>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eastAsia="pt-BR"/>
              </w:rPr>
              <w:t xml:space="preserve">I = </w:t>
            </w:r>
            <w:proofErr w:type="gramStart"/>
            <w:r w:rsidRPr="004C0C95">
              <w:rPr>
                <w:rFonts w:asciiTheme="majorHAnsi" w:eastAsia="Times New Roman" w:hAnsiTheme="majorHAnsi" w:cs="Arial"/>
                <w:color w:val="000000"/>
                <w:sz w:val="18"/>
                <w:szCs w:val="18"/>
                <w:lang w:eastAsia="pt-BR"/>
              </w:rPr>
              <w:t>0,</w:t>
            </w:r>
            <w:proofErr w:type="gramEnd"/>
            <w:r w:rsidRPr="004C0C95">
              <w:rPr>
                <w:rFonts w:asciiTheme="majorHAnsi" w:eastAsia="Times New Roman" w:hAnsiTheme="majorHAnsi" w:cs="Arial"/>
                <w:color w:val="000000"/>
                <w:sz w:val="18"/>
                <w:szCs w:val="18"/>
                <w:lang w:eastAsia="pt-BR"/>
              </w:rPr>
              <w:t>00016438</w:t>
            </w:r>
          </w:p>
          <w:p w:rsidR="004C0C95" w:rsidRPr="004C0C95" w:rsidRDefault="004C0C95" w:rsidP="004C0C95">
            <w:pPr>
              <w:spacing w:before="119" w:after="100" w:afterAutospacing="1" w:line="240" w:lineRule="auto"/>
              <w:ind w:left="743"/>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eastAsia="pt-BR"/>
              </w:rPr>
              <w:t>TX = Percentual da taxa anual = 6%</w:t>
            </w:r>
          </w:p>
        </w:tc>
      </w:tr>
    </w:tbl>
    <w:p w:rsidR="004C0C95" w:rsidRPr="004C0C95" w:rsidRDefault="004C0C95" w:rsidP="004C0C95">
      <w:pPr>
        <w:spacing w:before="100" w:beforeAutospacing="1" w:after="100" w:afterAutospacing="1" w:line="360" w:lineRule="auto"/>
        <w:jc w:val="center"/>
        <w:rPr>
          <w:rFonts w:asciiTheme="majorHAnsi" w:eastAsia="Times New Roman" w:hAnsiTheme="majorHAnsi" w:cs="Times New Roman"/>
          <w:sz w:val="18"/>
          <w:szCs w:val="18"/>
          <w:lang w:val="pt-PT" w:eastAsia="pt-BR"/>
        </w:rPr>
      </w:pPr>
      <w:r w:rsidRPr="004C0C95">
        <w:rPr>
          <w:rFonts w:asciiTheme="majorHAnsi" w:eastAsia="Times New Roman" w:hAnsiTheme="majorHAnsi" w:cs="Arial"/>
          <w:color w:val="000000"/>
          <w:sz w:val="18"/>
          <w:szCs w:val="18"/>
          <w:lang w:val="pt-PT" w:eastAsia="pt-BR"/>
        </w:rPr>
        <w:t>365</w:t>
      </w:r>
    </w:p>
    <w:p w:rsidR="004C0C95" w:rsidRPr="004C0C95" w:rsidRDefault="004C0C95" w:rsidP="004C0C95">
      <w:pPr>
        <w:numPr>
          <w:ilvl w:val="0"/>
          <w:numId w:val="4"/>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 ANTECIPAÇÃO DO PAGAMENTO</w:t>
      </w:r>
    </w:p>
    <w:p w:rsidR="004C0C95" w:rsidRPr="004C0C95" w:rsidRDefault="004C0C95" w:rsidP="004C0C95">
      <w:pPr>
        <w:numPr>
          <w:ilvl w:val="1"/>
          <w:numId w:val="4"/>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Não se aplica ao presente processo de aquisição.</w:t>
      </w:r>
    </w:p>
    <w:p w:rsidR="004C0C95" w:rsidRPr="004C0C95" w:rsidRDefault="004C0C95" w:rsidP="004C0C95">
      <w:pPr>
        <w:numPr>
          <w:ilvl w:val="0"/>
          <w:numId w:val="4"/>
        </w:numPr>
        <w:spacing w:before="119" w:after="119" w:line="360" w:lineRule="auto"/>
        <w:ind w:right="56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DO REAJUSTE</w:t>
      </w:r>
    </w:p>
    <w:p w:rsidR="004C0C95" w:rsidRPr="004C0C95" w:rsidRDefault="004C0C95" w:rsidP="004C0C95">
      <w:pPr>
        <w:numPr>
          <w:ilvl w:val="1"/>
          <w:numId w:val="4"/>
        </w:numPr>
        <w:spacing w:before="119" w:after="119" w:line="360" w:lineRule="auto"/>
        <w:ind w:right="39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preços são fixos e irreajustáveis durante a vigência do Contrato/Ata de Registro de Preços.</w:t>
      </w:r>
    </w:p>
    <w:p w:rsidR="004C0C95" w:rsidRPr="004C0C95" w:rsidRDefault="004C0C95" w:rsidP="004C0C95">
      <w:pPr>
        <w:numPr>
          <w:ilvl w:val="0"/>
          <w:numId w:val="4"/>
        </w:numPr>
        <w:spacing w:before="119" w:after="119" w:line="360" w:lineRule="auto"/>
        <w:ind w:right="39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DAS SANÇÕES ADMINISTRATIVAS</w:t>
      </w:r>
    </w:p>
    <w:p w:rsidR="004C0C95" w:rsidRPr="004C0C95" w:rsidRDefault="004C0C95" w:rsidP="004C0C95">
      <w:pPr>
        <w:numPr>
          <w:ilvl w:val="1"/>
          <w:numId w:val="4"/>
        </w:numPr>
        <w:spacing w:before="119" w:after="119" w:line="360" w:lineRule="auto"/>
        <w:ind w:right="39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Comete infração administrativa, o Contratado que:</w:t>
      </w:r>
    </w:p>
    <w:p w:rsidR="004C0C95" w:rsidRPr="004C0C95" w:rsidRDefault="004C0C95" w:rsidP="004C0C95">
      <w:pPr>
        <w:numPr>
          <w:ilvl w:val="2"/>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Inexecutar total ou parcialmente quaisquer das obrigações assumidas em decorrência da contratação;</w:t>
      </w:r>
    </w:p>
    <w:p w:rsidR="004C0C95" w:rsidRPr="004C0C95" w:rsidRDefault="004C0C95" w:rsidP="004C0C95">
      <w:pPr>
        <w:numPr>
          <w:ilvl w:val="2"/>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Ensejar o retardamento da execução do objeto;</w:t>
      </w:r>
    </w:p>
    <w:p w:rsidR="004C0C95" w:rsidRPr="004C0C95" w:rsidRDefault="004C0C95" w:rsidP="004C0C95">
      <w:pPr>
        <w:numPr>
          <w:ilvl w:val="2"/>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Falhar ou fraudar na execução do contrato/ata de registro de preço;</w:t>
      </w:r>
    </w:p>
    <w:p w:rsidR="004C0C95" w:rsidRPr="004C0C95" w:rsidRDefault="004C0C95" w:rsidP="004C0C95">
      <w:pPr>
        <w:numPr>
          <w:ilvl w:val="2"/>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Comportar-se de modo inidôneo;e</w:t>
      </w:r>
    </w:p>
    <w:p w:rsidR="004C0C95" w:rsidRPr="004C0C95" w:rsidRDefault="004C0C95" w:rsidP="004C0C95">
      <w:pPr>
        <w:numPr>
          <w:ilvl w:val="2"/>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Cometer fraude fiscal;</w:t>
      </w:r>
    </w:p>
    <w:p w:rsidR="004C0C95" w:rsidRPr="004C0C95" w:rsidRDefault="004C0C95" w:rsidP="004C0C95">
      <w:pPr>
        <w:numPr>
          <w:ilvl w:val="1"/>
          <w:numId w:val="4"/>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 xml:space="preserve">Pela inexecução </w:t>
      </w:r>
      <w:r w:rsidRPr="004C0C95">
        <w:rPr>
          <w:rFonts w:asciiTheme="majorHAnsi" w:eastAsia="Times New Roman" w:hAnsiTheme="majorHAnsi" w:cs="Arial"/>
          <w:sz w:val="18"/>
          <w:szCs w:val="18"/>
          <w:u w:val="single"/>
          <w:lang w:val="pt-PT" w:eastAsia="pt-BR"/>
        </w:rPr>
        <w:t xml:space="preserve">total ou </w:t>
      </w:r>
      <w:r w:rsidRPr="004C0C95">
        <w:rPr>
          <w:rFonts w:asciiTheme="majorHAnsi" w:eastAsia="Times New Roman" w:hAnsiTheme="majorHAnsi" w:cs="Arial"/>
          <w:sz w:val="18"/>
          <w:szCs w:val="18"/>
          <w:lang w:val="pt-PT" w:eastAsia="pt-BR"/>
        </w:rPr>
        <w:t>p</w:t>
      </w:r>
      <w:r w:rsidRPr="004C0C95">
        <w:rPr>
          <w:rFonts w:asciiTheme="majorHAnsi" w:eastAsia="Times New Roman" w:hAnsiTheme="majorHAnsi" w:cs="Arial"/>
          <w:sz w:val="18"/>
          <w:szCs w:val="18"/>
          <w:u w:val="single"/>
          <w:lang w:val="pt-PT" w:eastAsia="pt-BR"/>
        </w:rPr>
        <w:t xml:space="preserve">arcial </w:t>
      </w:r>
      <w:r w:rsidRPr="004C0C95">
        <w:rPr>
          <w:rFonts w:asciiTheme="majorHAnsi" w:eastAsia="Times New Roman" w:hAnsiTheme="majorHAnsi" w:cs="Arial"/>
          <w:sz w:val="18"/>
          <w:szCs w:val="18"/>
          <w:lang w:val="pt-PT" w:eastAsia="pt-BR"/>
        </w:rPr>
        <w:t>do objeto deste contrato, a Administração pode aplicar ao CONTRATADO as seguintes sanções:</w:t>
      </w:r>
    </w:p>
    <w:p w:rsidR="004C0C95" w:rsidRPr="004C0C95" w:rsidRDefault="004C0C95" w:rsidP="004C0C95">
      <w:pPr>
        <w:numPr>
          <w:ilvl w:val="2"/>
          <w:numId w:val="4"/>
        </w:numPr>
        <w:spacing w:before="119" w:after="119" w:line="360" w:lineRule="auto"/>
        <w:ind w:right="232"/>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 xml:space="preserve">Advertência, </w:t>
      </w:r>
      <w:r w:rsidRPr="004C0C95">
        <w:rPr>
          <w:rFonts w:asciiTheme="majorHAnsi" w:eastAsia="Times New Roman" w:hAnsiTheme="majorHAnsi" w:cs="Arial"/>
          <w:sz w:val="18"/>
          <w:szCs w:val="18"/>
          <w:lang w:val="pt-PT" w:eastAsia="pt-BR"/>
        </w:rPr>
        <w:t>por faltas leves, assim entendidas aquelas que não acarretem prejuízos significativos para a Contratante</w:t>
      </w:r>
    </w:p>
    <w:p w:rsidR="004C0C95" w:rsidRPr="004C0C95" w:rsidRDefault="004C0C95" w:rsidP="004C0C95">
      <w:pPr>
        <w:numPr>
          <w:ilvl w:val="2"/>
          <w:numId w:val="4"/>
        </w:numPr>
        <w:spacing w:before="119" w:after="119" w:line="360" w:lineRule="auto"/>
        <w:ind w:right="244"/>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Multa moratória</w:t>
      </w:r>
      <w:r w:rsidRPr="004C0C95">
        <w:rPr>
          <w:rFonts w:asciiTheme="majorHAnsi" w:eastAsia="Times New Roman" w:hAnsiTheme="majorHAnsi" w:cs="Arial"/>
          <w:sz w:val="18"/>
          <w:szCs w:val="18"/>
          <w:lang w:val="pt-PT" w:eastAsia="pt-BR"/>
        </w:rPr>
        <w:t xml:space="preserve"> de 0,2%(zero vírgula dois por cento) por dia de atraso injustificado </w:t>
      </w:r>
      <w:r w:rsidRPr="004C0C95">
        <w:rPr>
          <w:rFonts w:asciiTheme="majorHAnsi" w:eastAsia="Times New Roman" w:hAnsiTheme="majorHAnsi" w:cs="Arial"/>
          <w:sz w:val="18"/>
          <w:szCs w:val="18"/>
          <w:u w:val="single"/>
          <w:lang w:val="pt-PT" w:eastAsia="pt-BR"/>
        </w:rPr>
        <w:t>sobre o valor do pedido inadimplido</w:t>
      </w:r>
      <w:r w:rsidRPr="004C0C95">
        <w:rPr>
          <w:rFonts w:asciiTheme="majorHAnsi" w:eastAsia="Times New Roman" w:hAnsiTheme="majorHAnsi" w:cs="Arial"/>
          <w:sz w:val="18"/>
          <w:szCs w:val="18"/>
          <w:lang w:val="pt-PT" w:eastAsia="pt-BR"/>
        </w:rPr>
        <w:t xml:space="preserve">, até o limite de 30 (trinta) dias de atraso; Multa moratória de 0,4% (zero vírgula quatro por cento) por dia de atraso injustificado </w:t>
      </w:r>
      <w:r w:rsidRPr="004C0C95">
        <w:rPr>
          <w:rFonts w:asciiTheme="majorHAnsi" w:eastAsia="Times New Roman" w:hAnsiTheme="majorHAnsi" w:cs="Arial"/>
          <w:sz w:val="18"/>
          <w:szCs w:val="18"/>
          <w:u w:val="single"/>
          <w:lang w:val="pt-PT" w:eastAsia="pt-BR"/>
        </w:rPr>
        <w:t>sobre o valor do pedido inadimplido</w:t>
      </w:r>
      <w:r w:rsidRPr="004C0C95">
        <w:rPr>
          <w:rFonts w:asciiTheme="majorHAnsi" w:eastAsia="Times New Roman" w:hAnsiTheme="majorHAnsi" w:cs="Arial"/>
          <w:sz w:val="18"/>
          <w:szCs w:val="18"/>
          <w:lang w:val="pt-PT" w:eastAsia="pt-BR"/>
        </w:rPr>
        <w:t xml:space="preserve">, do 31º (trigésimo primeiro) ao 60º(sexagésimo) dia de atraso. Multa moratória de 0,6% (zero vírgula seis por cento) por dia de atraso injustificado </w:t>
      </w:r>
      <w:r w:rsidRPr="004C0C95">
        <w:rPr>
          <w:rFonts w:asciiTheme="majorHAnsi" w:eastAsia="Times New Roman" w:hAnsiTheme="majorHAnsi" w:cs="Arial"/>
          <w:sz w:val="18"/>
          <w:szCs w:val="18"/>
          <w:u w:val="single"/>
          <w:lang w:val="pt-PT" w:eastAsia="pt-BR"/>
        </w:rPr>
        <w:t>sobre o valor do pedido inadimplido</w:t>
      </w:r>
      <w:r w:rsidRPr="004C0C95">
        <w:rPr>
          <w:rFonts w:asciiTheme="majorHAnsi" w:eastAsia="Times New Roman" w:hAnsiTheme="majorHAnsi" w:cs="Arial"/>
          <w:sz w:val="18"/>
          <w:szCs w:val="18"/>
          <w:lang w:val="pt-PT" w:eastAsia="pt-BR"/>
        </w:rPr>
        <w:t>, do 61º(sexagésimo primeiro) dia em diante, até o limite máximo de 150 dias, sem prejuízo das demais penalidades;</w:t>
      </w:r>
    </w:p>
    <w:p w:rsidR="004C0C95" w:rsidRPr="004C0C95" w:rsidRDefault="004C0C95" w:rsidP="004C0C95">
      <w:pPr>
        <w:numPr>
          <w:ilvl w:val="2"/>
          <w:numId w:val="4"/>
        </w:numPr>
        <w:spacing w:before="119" w:after="119" w:line="360" w:lineRule="auto"/>
        <w:ind w:right="244"/>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Multa compensatória</w:t>
      </w:r>
      <w:r w:rsidRPr="004C0C95">
        <w:rPr>
          <w:rFonts w:asciiTheme="majorHAnsi" w:eastAsia="Times New Roman" w:hAnsiTheme="majorHAnsi" w:cs="Arial"/>
          <w:sz w:val="18"/>
          <w:szCs w:val="18"/>
          <w:lang w:val="pt-PT" w:eastAsia="pt-BR"/>
        </w:rPr>
        <w:t xml:space="preserve"> de 5% (cinco por cento) </w:t>
      </w:r>
      <w:r w:rsidRPr="004C0C95">
        <w:rPr>
          <w:rFonts w:asciiTheme="majorHAnsi" w:eastAsia="Times New Roman" w:hAnsiTheme="majorHAnsi" w:cs="Arial"/>
          <w:sz w:val="18"/>
          <w:szCs w:val="18"/>
          <w:u w:val="single"/>
          <w:lang w:val="pt-PT" w:eastAsia="pt-BR"/>
        </w:rPr>
        <w:t>sobre o valor total do contrato</w:t>
      </w:r>
      <w:r w:rsidRPr="004C0C95">
        <w:rPr>
          <w:rFonts w:asciiTheme="majorHAnsi" w:eastAsia="Times New Roman" w:hAnsiTheme="majorHAnsi" w:cs="Arial"/>
          <w:sz w:val="18"/>
          <w:szCs w:val="18"/>
          <w:lang w:val="pt-PT" w:eastAsia="pt-BR"/>
        </w:rPr>
        <w:t>, no caso de inexecução total do objeto;</w:t>
      </w:r>
    </w:p>
    <w:p w:rsidR="004C0C95" w:rsidRPr="004C0C95" w:rsidRDefault="004C0C95" w:rsidP="004C0C95">
      <w:pPr>
        <w:spacing w:before="119" w:after="119" w:line="360" w:lineRule="auto"/>
        <w:ind w:left="142" w:right="232"/>
        <w:rPr>
          <w:rFonts w:asciiTheme="majorHAnsi" w:eastAsia="Times New Roman" w:hAnsiTheme="majorHAnsi" w:cs="Times New Roman"/>
          <w:sz w:val="18"/>
          <w:szCs w:val="18"/>
          <w:lang w:val="pt-PT" w:eastAsia="pt-BR"/>
        </w:rPr>
      </w:pPr>
      <w:bookmarkStart w:id="0" w:name="m_2567732422262189741__GoBack"/>
      <w:bookmarkEnd w:id="0"/>
      <w:r w:rsidRPr="004C0C95">
        <w:rPr>
          <w:rFonts w:asciiTheme="majorHAnsi" w:eastAsia="Times New Roman" w:hAnsiTheme="majorHAnsi" w:cs="Arial"/>
          <w:sz w:val="18"/>
          <w:szCs w:val="18"/>
          <w:lang w:val="pt-PT" w:eastAsia="pt-BR"/>
        </w:rPr>
        <w:lastRenderedPageBreak/>
        <w:t>18.2.3.1. Em caso de inexecução parcial, a multa compensatória, no mesmo percentual do sub item acima, será aplicada de forma proporcional à obrigação inadimplida;</w:t>
      </w:r>
    </w:p>
    <w:p w:rsidR="004C0C95" w:rsidRPr="004C0C95" w:rsidRDefault="004C0C95" w:rsidP="004C0C95">
      <w:pPr>
        <w:numPr>
          <w:ilvl w:val="0"/>
          <w:numId w:val="5"/>
        </w:numPr>
        <w:spacing w:before="100" w:beforeAutospacing="1" w:after="100" w:afterAutospacing="1" w:line="240" w:lineRule="auto"/>
        <w:rPr>
          <w:rFonts w:asciiTheme="majorHAnsi" w:eastAsia="Times New Roman" w:hAnsiTheme="majorHAnsi" w:cs="Times New Roman"/>
          <w:sz w:val="18"/>
          <w:szCs w:val="18"/>
          <w:lang w:eastAsia="pt-BR"/>
        </w:rPr>
      </w:pPr>
    </w:p>
    <w:p w:rsidR="004C0C95" w:rsidRPr="004C0C95" w:rsidRDefault="004C0C95" w:rsidP="004C0C95">
      <w:pPr>
        <w:numPr>
          <w:ilvl w:val="1"/>
          <w:numId w:val="5"/>
        </w:numPr>
        <w:spacing w:before="100" w:beforeAutospacing="1" w:after="100" w:afterAutospacing="1" w:line="240" w:lineRule="auto"/>
        <w:rPr>
          <w:rFonts w:asciiTheme="majorHAnsi" w:eastAsia="Times New Roman" w:hAnsiTheme="majorHAnsi" w:cs="Times New Roman"/>
          <w:sz w:val="18"/>
          <w:szCs w:val="18"/>
          <w:lang w:eastAsia="pt-BR"/>
        </w:rPr>
      </w:pPr>
    </w:p>
    <w:p w:rsidR="004C0C95" w:rsidRPr="004C0C95" w:rsidRDefault="004C0C95" w:rsidP="004C0C95">
      <w:pPr>
        <w:numPr>
          <w:ilvl w:val="2"/>
          <w:numId w:val="5"/>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Suspensão de licitar e impedimento de contratar</w:t>
      </w:r>
      <w:r w:rsidRPr="004C0C95">
        <w:rPr>
          <w:rFonts w:asciiTheme="majorHAnsi" w:eastAsia="Times New Roman" w:hAnsiTheme="majorHAnsi" w:cs="Arial"/>
          <w:sz w:val="18"/>
          <w:szCs w:val="18"/>
          <w:lang w:val="pt-PT" w:eastAsia="pt-BR"/>
        </w:rPr>
        <w:t xml:space="preserve"> com o órgão, entidade ou unidade administrativa pela qual a Administração Pública opera e atua concretamente, pelo prazo de até dois anos;</w:t>
      </w:r>
    </w:p>
    <w:p w:rsidR="004C0C95" w:rsidRPr="004C0C95" w:rsidRDefault="004C0C95" w:rsidP="004C0C95">
      <w:pPr>
        <w:numPr>
          <w:ilvl w:val="2"/>
          <w:numId w:val="5"/>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Declaração de inidoneidade para licitar ou contratar</w:t>
      </w:r>
      <w:r w:rsidRPr="004C0C95">
        <w:rPr>
          <w:rFonts w:asciiTheme="majorHAnsi" w:eastAsia="Times New Roman" w:hAnsiTheme="majorHAnsi" w:cs="Arial"/>
          <w:sz w:val="18"/>
          <w:szCs w:val="18"/>
          <w:lang w:val="pt-PT" w:eastAsia="pt-BR"/>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C0C95" w:rsidRPr="004C0C95" w:rsidRDefault="004C0C95" w:rsidP="004C0C95">
      <w:pPr>
        <w:numPr>
          <w:ilvl w:val="1"/>
          <w:numId w:val="5"/>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As sanções previstas nos subitens 18.2.1., 18.2.4., 18.2.5., poderão ser aplicadas ao CONTRATADO juntamente com as de multa, descontando-a dos pagamentos a serem efetuados.</w:t>
      </w:r>
    </w:p>
    <w:p w:rsidR="004C0C95" w:rsidRPr="004C0C95" w:rsidRDefault="004C0C95" w:rsidP="004C0C95">
      <w:pPr>
        <w:numPr>
          <w:ilvl w:val="1"/>
          <w:numId w:val="5"/>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Também ficam sujeitas às penalidades do art. 87, III e IV da Lei nº 8.666, de 1993, as empresas ou profissionais que:</w:t>
      </w:r>
    </w:p>
    <w:p w:rsidR="004C0C95" w:rsidRPr="004C0C95" w:rsidRDefault="004C0C95" w:rsidP="004C0C95">
      <w:pPr>
        <w:numPr>
          <w:ilvl w:val="2"/>
          <w:numId w:val="6"/>
        </w:numPr>
        <w:spacing w:before="119" w:after="119" w:line="360" w:lineRule="auto"/>
        <w:ind w:left="2160" w:right="227" w:hanging="36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Tenham sofrido condenação definitiva por praticar, por meio dolosos, fraude fiscal no recolhimento de quaisquer tributos;</w:t>
      </w:r>
    </w:p>
    <w:p w:rsidR="004C0C95" w:rsidRPr="004C0C95" w:rsidRDefault="004C0C95" w:rsidP="004C0C95">
      <w:pPr>
        <w:numPr>
          <w:ilvl w:val="2"/>
          <w:numId w:val="6"/>
        </w:numPr>
        <w:spacing w:before="119" w:after="119" w:line="360" w:lineRule="auto"/>
        <w:ind w:left="2160" w:right="227" w:hanging="36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Tenham praticado atos ilícitos visando a frustrar os objetivos da licitação;e</w:t>
      </w:r>
    </w:p>
    <w:p w:rsidR="004C0C95" w:rsidRPr="004C0C95" w:rsidRDefault="004C0C95" w:rsidP="004C0C95">
      <w:pPr>
        <w:numPr>
          <w:ilvl w:val="2"/>
          <w:numId w:val="6"/>
        </w:numPr>
        <w:spacing w:before="119" w:after="119" w:line="360" w:lineRule="auto"/>
        <w:ind w:left="2160" w:right="227" w:hanging="36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Demonstrem não possuir idoneidade para contratar com a Administração em virtude de atos ilícitos praticados.</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aplicação de qualquer das penalidades previstas realizar-se-á em processo administrativo que assegurará o contraditório e a ampla defesa à Contratada/Fornecedora Registrada, observando-se o procedimento previsto na Lei nº8.666de1993.</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 xml:space="preserve">Caso a Contratante determine, a multa deverá ser recolhida no prazo máximo de </w:t>
      </w:r>
      <w:r w:rsidRPr="004C0C95">
        <w:rPr>
          <w:rFonts w:asciiTheme="majorHAnsi" w:eastAsia="Times New Roman" w:hAnsiTheme="majorHAnsi" w:cs="Arial"/>
          <w:b/>
          <w:bCs/>
          <w:sz w:val="18"/>
          <w:szCs w:val="18"/>
          <w:lang w:val="pt-PT" w:eastAsia="pt-BR"/>
        </w:rPr>
        <w:t>30 dias corridos</w:t>
      </w:r>
      <w:r w:rsidRPr="004C0C95">
        <w:rPr>
          <w:rFonts w:asciiTheme="majorHAnsi" w:eastAsia="Times New Roman" w:hAnsiTheme="majorHAnsi" w:cs="Arial"/>
          <w:sz w:val="18"/>
          <w:szCs w:val="18"/>
          <w:lang w:val="pt-PT" w:eastAsia="pt-BR"/>
        </w:rPr>
        <w:t>, a contar da data do recebimento da comunicação enviada pela autoridade competente.</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 autoridade competente, na aplicação das sanções, levará em consideração a gravidade da conduta do infrator, o caráter educativo da pena, bem como o dano causado à Administração, observado o princípio da proporcionalidade.</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As penalidades serão obrigatoriamente registradas no Tribunal de Contas do Estado do Rio de Janeiro e no SICAF.</w:t>
      </w:r>
    </w:p>
    <w:p w:rsidR="004C0C95" w:rsidRPr="004C0C95" w:rsidRDefault="004C0C95" w:rsidP="004C0C95">
      <w:pPr>
        <w:numPr>
          <w:ilvl w:val="0"/>
          <w:numId w:val="6"/>
        </w:numPr>
        <w:spacing w:before="119" w:after="100" w:afterAutospacing="1" w:line="360" w:lineRule="auto"/>
        <w:ind w:right="181"/>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DA RESCISÃO DO CONTRATO</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 contrato poderá ser rescindido, a critério da Secretaria contratante, decorridos 10 (dez) dias após o prazo de entrega estipulado no item 5, caso a contratada/fornecedora registrada não comprove já ter enviado os produtos via transportadora ou correios, e/ou não apresente justificativa aceitáveis para a demora no cumprimento da ordem de fornecimento.</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lastRenderedPageBreak/>
        <w:t>A decisão de rescindir o contrato/ata de registro de preço caberá à Secretaria contratante, após prévia consulta ao setor solicitante do material, e desde que se vislumbrem possibilidades de prejuízos a esta Secretaria.</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Nos casos em que se justifique a rescisão contratual a contratada registrada ficará sujeita às penalidades previstas neste Termo de Referência.</w:t>
      </w:r>
    </w:p>
    <w:p w:rsidR="004C0C95" w:rsidRPr="004C0C95" w:rsidRDefault="004C0C95" w:rsidP="004C0C95">
      <w:pPr>
        <w:numPr>
          <w:ilvl w:val="0"/>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DOS CRITÉRIOS DE SELEÇÃO DO FORNECEDOR</w:t>
      </w:r>
    </w:p>
    <w:p w:rsidR="004C0C95" w:rsidRPr="004C0C95" w:rsidRDefault="004C0C95" w:rsidP="004C0C95">
      <w:pPr>
        <w:numPr>
          <w:ilvl w:val="1"/>
          <w:numId w:val="6"/>
        </w:numPr>
        <w:spacing w:before="119" w:after="119" w:line="360" w:lineRule="auto"/>
        <w:ind w:right="227"/>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Para fins de comprovação de qualificação técnica, deverá(ão) ser apresentado(s) o(s) seguinte(s) documento(s):</w:t>
      </w:r>
    </w:p>
    <w:p w:rsidR="004C0C95" w:rsidRPr="004C0C95" w:rsidRDefault="004C0C95" w:rsidP="004C0C95">
      <w:pPr>
        <w:numPr>
          <w:ilvl w:val="2"/>
          <w:numId w:val="7"/>
        </w:numPr>
        <w:spacing w:before="119" w:after="119" w:line="360" w:lineRule="auto"/>
        <w:ind w:left="2160" w:right="227" w:hanging="36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Atestado expedido por pessoa jurídica de direito público ou privado, comprovando que a licitante já prestou fornecimento similar ao do Objeto a ser adquirido em quantidades e condições compatíveis com as descritas neste Termo de Referência.</w:t>
      </w:r>
    </w:p>
    <w:p w:rsidR="004C0C95" w:rsidRPr="004C0C95" w:rsidRDefault="004C0C95" w:rsidP="004C0C95">
      <w:pPr>
        <w:numPr>
          <w:ilvl w:val="2"/>
          <w:numId w:val="7"/>
        </w:numPr>
        <w:spacing w:before="119" w:after="119" w:line="360" w:lineRule="auto"/>
        <w:ind w:left="2160" w:hanging="360"/>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atestados fornecidos por pessoa Jurídica de direito público deverão ser emitidos em papel timbrado e com a indicação de cargo e matrícula do signatário. Atestados emitidos por pessoa jurídica de direito privado deverão estar acompanhado de documento que comprove a aptidão do signatário para responder pela empresa.</w:t>
      </w:r>
    </w:p>
    <w:p w:rsidR="004C0C95" w:rsidRPr="004C0C95" w:rsidRDefault="004C0C95" w:rsidP="004C0C95">
      <w:pPr>
        <w:numPr>
          <w:ilvl w:val="1"/>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As exigências de habilitação jurídica e de regularidade fiscal e trabalhista são as usuais para a generalidade do objeto, conforme será disciplinado no edital;</w:t>
      </w:r>
    </w:p>
    <w:p w:rsidR="004C0C95" w:rsidRPr="004C0C95" w:rsidRDefault="004C0C95" w:rsidP="004C0C95">
      <w:pPr>
        <w:numPr>
          <w:ilvl w:val="1"/>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Os critérios de qualificação econômico-financeira a serem atendidos pelo Contratado estarão previstos em edital;</w:t>
      </w:r>
    </w:p>
    <w:p w:rsidR="004C0C95" w:rsidRPr="004C0C95" w:rsidRDefault="004C0C95" w:rsidP="004C0C95">
      <w:pPr>
        <w:numPr>
          <w:ilvl w:val="1"/>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As regras de desempate entre propostas serão as discriminadas no edital.</w:t>
      </w:r>
    </w:p>
    <w:p w:rsidR="004C0C95" w:rsidRPr="004C0C95" w:rsidRDefault="004C0C95" w:rsidP="004C0C95">
      <w:pPr>
        <w:numPr>
          <w:ilvl w:val="0"/>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val="pt-PT" w:eastAsia="pt-BR"/>
        </w:rPr>
        <w:t>DOS RECURSOS ORÇAMENTÁRIOS</w:t>
      </w:r>
    </w:p>
    <w:p w:rsidR="004C0C95" w:rsidRPr="004C0C95" w:rsidRDefault="004C0C95" w:rsidP="004C0C95">
      <w:pPr>
        <w:numPr>
          <w:ilvl w:val="1"/>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As despesas decorrentes da contratação correrão a conta da seguinte dotação orçamentaria – Orçamento 2021.</w:t>
      </w:r>
    </w:p>
    <w:tbl>
      <w:tblPr>
        <w:tblW w:w="9885" w:type="dxa"/>
        <w:tblCellSpacing w:w="0" w:type="dxa"/>
        <w:tblInd w:w="1440" w:type="dxa"/>
        <w:tblCellMar>
          <w:top w:w="60" w:type="dxa"/>
          <w:left w:w="60" w:type="dxa"/>
          <w:bottom w:w="60" w:type="dxa"/>
          <w:right w:w="60" w:type="dxa"/>
        </w:tblCellMar>
        <w:tblLook w:val="04A0"/>
      </w:tblPr>
      <w:tblGrid>
        <w:gridCol w:w="2437"/>
        <w:gridCol w:w="7448"/>
      </w:tblGrid>
      <w:tr w:rsidR="004C0C95" w:rsidRPr="004C0C95" w:rsidTr="004C0C95">
        <w:trPr>
          <w:tblCellSpacing w:w="0" w:type="dxa"/>
        </w:trPr>
        <w:tc>
          <w:tcPr>
            <w:tcW w:w="237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27.812.00231319</w:t>
            </w:r>
          </w:p>
        </w:tc>
        <w:tc>
          <w:tcPr>
            <w:tcW w:w="72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DINAMIZAÇÃO DE CAMPEONATOS E COMPETIÇOES FUNDO SEMEL</w:t>
            </w:r>
          </w:p>
        </w:tc>
      </w:tr>
      <w:tr w:rsidR="004C0C95" w:rsidRPr="004C0C95" w:rsidTr="004C0C95">
        <w:trPr>
          <w:trHeight w:val="135"/>
          <w:tblCellSpacing w:w="0" w:type="dxa"/>
        </w:trPr>
        <w:tc>
          <w:tcPr>
            <w:tcW w:w="2370" w:type="dxa"/>
            <w:tcBorders>
              <w:top w:val="nil"/>
              <w:left w:val="single" w:sz="6" w:space="0" w:color="auto"/>
              <w:bottom w:val="single" w:sz="6" w:space="0" w:color="auto"/>
              <w:right w:val="nil"/>
            </w:tcBorders>
            <w:tcMar>
              <w:top w:w="0" w:type="dxa"/>
              <w:left w:w="57" w:type="dxa"/>
              <w:bottom w:w="57" w:type="dxa"/>
              <w:right w:w="0" w:type="dxa"/>
            </w:tcMar>
            <w:hideMark/>
          </w:tcPr>
          <w:p w:rsidR="004C0C95" w:rsidRPr="004C0C95" w:rsidRDefault="004C0C95" w:rsidP="004C0C95">
            <w:pPr>
              <w:spacing w:before="119" w:after="100" w:afterAutospacing="1" w:line="135" w:lineRule="atLeast"/>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3.3.90.39.00.00</w:t>
            </w:r>
          </w:p>
        </w:tc>
        <w:tc>
          <w:tcPr>
            <w:tcW w:w="7245" w:type="dxa"/>
            <w:tcBorders>
              <w:top w:val="nil"/>
              <w:left w:val="single" w:sz="6" w:space="0" w:color="auto"/>
              <w:bottom w:val="single" w:sz="6" w:space="0" w:color="auto"/>
              <w:right w:val="single" w:sz="6" w:space="0" w:color="auto"/>
            </w:tcBorders>
            <w:tcMar>
              <w:top w:w="0" w:type="dxa"/>
              <w:left w:w="57" w:type="dxa"/>
              <w:bottom w:w="57" w:type="dxa"/>
              <w:right w:w="57" w:type="dxa"/>
            </w:tcMar>
            <w:hideMark/>
          </w:tcPr>
          <w:p w:rsidR="004C0C95" w:rsidRPr="004C0C95" w:rsidRDefault="004C0C95" w:rsidP="004C0C95">
            <w:pPr>
              <w:spacing w:before="119" w:after="100" w:afterAutospacing="1" w:line="135" w:lineRule="atLeast"/>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Outros Serviços de Terceiros – Pessoa Jurídica</w:t>
            </w:r>
          </w:p>
        </w:tc>
      </w:tr>
      <w:tr w:rsidR="004C0C95" w:rsidRPr="004C0C95" w:rsidTr="004C0C95">
        <w:trPr>
          <w:tblCellSpacing w:w="0" w:type="dxa"/>
        </w:trPr>
        <w:tc>
          <w:tcPr>
            <w:tcW w:w="2370" w:type="dxa"/>
            <w:tcBorders>
              <w:top w:val="single" w:sz="6" w:space="0" w:color="auto"/>
              <w:left w:val="single" w:sz="6" w:space="0" w:color="auto"/>
              <w:bottom w:val="single" w:sz="6" w:space="0" w:color="auto"/>
              <w:right w:val="nil"/>
            </w:tcBorders>
            <w:tcMar>
              <w:top w:w="57" w:type="dxa"/>
              <w:left w:w="57" w:type="dxa"/>
              <w:bottom w:w="57" w:type="dxa"/>
              <w:right w:w="0"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Fonte de recursos</w:t>
            </w:r>
          </w:p>
        </w:tc>
        <w:tc>
          <w:tcPr>
            <w:tcW w:w="72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C0C95" w:rsidRPr="004C0C95" w:rsidRDefault="004C0C95" w:rsidP="004C0C95">
            <w:pPr>
              <w:spacing w:before="119" w:after="100" w:afterAutospacing="1" w:line="24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val="pt-PT" w:eastAsia="pt-BR"/>
              </w:rPr>
              <w:t>08</w:t>
            </w:r>
          </w:p>
        </w:tc>
      </w:tr>
    </w:tbl>
    <w:p w:rsidR="004C0C95" w:rsidRPr="004C0C95" w:rsidRDefault="004C0C95" w:rsidP="004C0C95">
      <w:pPr>
        <w:numPr>
          <w:ilvl w:val="0"/>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b/>
          <w:bCs/>
          <w:sz w:val="18"/>
          <w:szCs w:val="18"/>
          <w:lang w:eastAsia="pt-BR"/>
        </w:rPr>
        <w:t>DAS DISPOSIÇÕES GERAIS</w:t>
      </w:r>
    </w:p>
    <w:p w:rsidR="004C0C95" w:rsidRPr="004C0C95" w:rsidRDefault="004C0C95" w:rsidP="004C0C95">
      <w:pPr>
        <w:spacing w:before="119" w:after="119" w:line="360" w:lineRule="auto"/>
        <w:ind w:left="720"/>
        <w:rPr>
          <w:rFonts w:asciiTheme="majorHAnsi" w:eastAsia="Times New Roman" w:hAnsiTheme="majorHAnsi" w:cs="Times New Roman"/>
          <w:sz w:val="18"/>
          <w:szCs w:val="18"/>
          <w:lang w:val="pt-PT" w:eastAsia="pt-BR"/>
        </w:rPr>
      </w:pPr>
      <w:r w:rsidRPr="004C0C95">
        <w:rPr>
          <w:rFonts w:asciiTheme="majorHAnsi" w:eastAsia="Times New Roman" w:hAnsiTheme="majorHAnsi" w:cs="Times New Roman"/>
          <w:sz w:val="18"/>
          <w:szCs w:val="18"/>
          <w:lang w:val="pt-PT" w:eastAsia="pt-BR"/>
        </w:rPr>
        <w:t> </w:t>
      </w:r>
    </w:p>
    <w:p w:rsidR="004C0C95" w:rsidRPr="004C0C95" w:rsidRDefault="004C0C95" w:rsidP="004C0C95">
      <w:pPr>
        <w:spacing w:before="119" w:after="119" w:line="360" w:lineRule="auto"/>
        <w:ind w:left="720"/>
        <w:rPr>
          <w:rFonts w:asciiTheme="majorHAnsi" w:eastAsia="Times New Roman" w:hAnsiTheme="majorHAnsi" w:cs="Times New Roman"/>
          <w:sz w:val="18"/>
          <w:szCs w:val="18"/>
          <w:lang w:val="pt-PT" w:eastAsia="pt-BR"/>
        </w:rPr>
      </w:pPr>
      <w:r w:rsidRPr="004C0C95">
        <w:rPr>
          <w:rFonts w:asciiTheme="majorHAnsi" w:eastAsia="Times New Roman" w:hAnsiTheme="majorHAnsi" w:cs="Times New Roman"/>
          <w:sz w:val="18"/>
          <w:szCs w:val="18"/>
          <w:lang w:val="pt-PT" w:eastAsia="pt-BR"/>
        </w:rPr>
        <w:t> </w:t>
      </w:r>
    </w:p>
    <w:p w:rsidR="004C0C95" w:rsidRPr="004C0C95" w:rsidRDefault="004C0C95" w:rsidP="004C0C95">
      <w:pPr>
        <w:numPr>
          <w:ilvl w:val="1"/>
          <w:numId w:val="7"/>
        </w:numPr>
        <w:spacing w:before="119" w:after="119" w:line="360" w:lineRule="auto"/>
        <w:rPr>
          <w:rFonts w:asciiTheme="majorHAnsi" w:eastAsia="Times New Roman" w:hAnsiTheme="majorHAnsi" w:cs="Times New Roman"/>
          <w:sz w:val="18"/>
          <w:szCs w:val="18"/>
          <w:lang w:val="pt-PT" w:eastAsia="pt-BR"/>
        </w:rPr>
      </w:pPr>
      <w:r w:rsidRPr="004C0C95">
        <w:rPr>
          <w:rFonts w:asciiTheme="majorHAnsi" w:eastAsia="Times New Roman" w:hAnsiTheme="majorHAnsi" w:cs="Arial"/>
          <w:sz w:val="18"/>
          <w:szCs w:val="18"/>
          <w:lang w:eastAsia="pt-BR"/>
        </w:rPr>
        <w:t>O presente Termo de Referência (TR) seguirá devidamente aprovado pela autoridade competente (ordenador de despesas), por meio de despacho, em atenção a Resolução Conjunta CGM/PGM/SEMGOV/SEMPLA de 12 de abril de 2021.</w:t>
      </w:r>
    </w:p>
    <w:p w:rsidR="004C0C95" w:rsidRPr="004C0C95" w:rsidRDefault="004C0C95" w:rsidP="004C0C95">
      <w:pPr>
        <w:spacing w:before="119" w:after="240" w:line="360" w:lineRule="auto"/>
        <w:ind w:right="510"/>
        <w:jc w:val="right"/>
        <w:rPr>
          <w:rFonts w:asciiTheme="majorHAnsi" w:eastAsia="Times New Roman" w:hAnsiTheme="majorHAnsi" w:cs="Times New Roman"/>
          <w:sz w:val="18"/>
          <w:szCs w:val="18"/>
          <w:lang w:val="pt-PT" w:eastAsia="pt-BR"/>
        </w:rPr>
      </w:pPr>
    </w:p>
    <w:p w:rsidR="00B13695" w:rsidRPr="004C0C95" w:rsidRDefault="00B13695">
      <w:pPr>
        <w:rPr>
          <w:lang w:val="pt-PT"/>
        </w:rPr>
      </w:pPr>
    </w:p>
    <w:sectPr w:rsidR="00B13695" w:rsidRPr="004C0C95" w:rsidSect="00B136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D4"/>
    <w:multiLevelType w:val="multilevel"/>
    <w:tmpl w:val="AD726B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650F5"/>
    <w:multiLevelType w:val="multilevel"/>
    <w:tmpl w:val="2228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C1190"/>
    <w:multiLevelType w:val="multilevel"/>
    <w:tmpl w:val="E0FE24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F71524"/>
    <w:multiLevelType w:val="multilevel"/>
    <w:tmpl w:val="86004C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E1A85"/>
    <w:multiLevelType w:val="multilevel"/>
    <w:tmpl w:val="6A5C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7">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C95"/>
    <w:rsid w:val="00193DB8"/>
    <w:rsid w:val="004C0C95"/>
    <w:rsid w:val="00B13695"/>
    <w:rsid w:val="00E56E57"/>
    <w:rsid w:val="00F873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C0C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C0C95"/>
    <w:rPr>
      <w:b/>
      <w:bCs/>
    </w:rPr>
  </w:style>
</w:styles>
</file>

<file path=word/webSettings.xml><?xml version="1.0" encoding="utf-8"?>
<w:webSettings xmlns:r="http://schemas.openxmlformats.org/officeDocument/2006/relationships" xmlns:w="http://schemas.openxmlformats.org/wordprocessingml/2006/main">
  <w:divs>
    <w:div w:id="1417049294">
      <w:bodyDiv w:val="1"/>
      <w:marLeft w:val="0"/>
      <w:marRight w:val="0"/>
      <w:marTop w:val="0"/>
      <w:marBottom w:val="0"/>
      <w:divBdr>
        <w:top w:val="none" w:sz="0" w:space="0" w:color="auto"/>
        <w:left w:val="none" w:sz="0" w:space="0" w:color="auto"/>
        <w:bottom w:val="none" w:sz="0" w:space="0" w:color="auto"/>
        <w:right w:val="none" w:sz="0" w:space="0" w:color="auto"/>
      </w:divBdr>
      <w:divsChild>
        <w:div w:id="1954164017">
          <w:marLeft w:val="0"/>
          <w:marRight w:val="0"/>
          <w:marTop w:val="0"/>
          <w:marBottom w:val="0"/>
          <w:divBdr>
            <w:top w:val="none" w:sz="0" w:space="0" w:color="auto"/>
            <w:left w:val="none" w:sz="0" w:space="0" w:color="auto"/>
            <w:bottom w:val="none" w:sz="0" w:space="0" w:color="auto"/>
            <w:right w:val="none" w:sz="0" w:space="0" w:color="auto"/>
          </w:divBdr>
          <w:divsChild>
            <w:div w:id="16775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3778</Words>
  <Characters>20404</Characters>
  <Application>Microsoft Office Word</Application>
  <DocSecurity>0</DocSecurity>
  <Lines>170</Lines>
  <Paragraphs>48</Paragraphs>
  <ScaleCrop>false</ScaleCrop>
  <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cp:lastPrinted>2022-02-09T18:31:00Z</cp:lastPrinted>
  <dcterms:created xsi:type="dcterms:W3CDTF">2022-02-09T18:25:00Z</dcterms:created>
  <dcterms:modified xsi:type="dcterms:W3CDTF">2022-02-09T18:39:00Z</dcterms:modified>
</cp:coreProperties>
</file>