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5A" w:rsidRDefault="00CC3C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43D9" w:rsidRDefault="007B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II</w:t>
      </w:r>
    </w:p>
    <w:p w:rsidR="00CC3C5A" w:rsidRDefault="00BF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TERMO DE REFERÊNCIA</w:t>
      </w:r>
    </w:p>
    <w:p w:rsidR="00CC3C5A" w:rsidRDefault="00CC3C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01- INTRODUÇÃO:</w:t>
      </w:r>
      <w:r>
        <w:rPr>
          <w:rFonts w:ascii="Times New Roman" w:eastAsia="Times New Roman" w:hAnsi="Times New Roman" w:cs="Times New Roman"/>
          <w:sz w:val="24"/>
        </w:rPr>
        <w:t xml:space="preserve"> Conjunto de Procedimentos necessários ao registro formal de preços objetivando futuras aquisições de materiais de consumo (material gráfico), nos termos da legislação vigente, especificamente, a Lei Nacional nº. 8.666/93, Lei Nacional nº. 10.520/02 e Decr</w:t>
      </w:r>
      <w:r>
        <w:rPr>
          <w:rFonts w:ascii="Times New Roman" w:eastAsia="Times New Roman" w:hAnsi="Times New Roman" w:cs="Times New Roman"/>
          <w:sz w:val="24"/>
        </w:rPr>
        <w:t>etos Municipais nº. 24/20 e 195/21;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02- JUSTIFICATIVA:</w:t>
      </w:r>
      <w:r>
        <w:rPr>
          <w:rFonts w:ascii="Times New Roman" w:eastAsia="Times New Roman" w:hAnsi="Times New Roman" w:cs="Times New Roman"/>
          <w:sz w:val="24"/>
        </w:rPr>
        <w:t xml:space="preserve"> Justificasse o presente conforme segue: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– No que toca à especificação do objeto, temos a informar que nenhuma se valeu da indicação de marca, mas sim da denominação comum brasileira, com critério</w:t>
      </w:r>
      <w:r>
        <w:rPr>
          <w:rFonts w:ascii="Times New Roman" w:eastAsia="Times New Roman" w:hAnsi="Times New Roman" w:cs="Times New Roman"/>
          <w:sz w:val="24"/>
        </w:rPr>
        <w:t>s qualitativos alinhados aos códigos estabelecidos pela ABNT, tendo sido tomadas todas as cautelas necessárias para assegurar que as descrições dos objetos correspondam àqueles elementos essenciais do bem, sem maiores riscos à limitação indevida da competi</w:t>
      </w:r>
      <w:r>
        <w:rPr>
          <w:rFonts w:ascii="Times New Roman" w:eastAsia="Times New Roman" w:hAnsi="Times New Roman" w:cs="Times New Roman"/>
          <w:sz w:val="24"/>
        </w:rPr>
        <w:t>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 – A presente aquisição dos bens elencados neste Termo de </w:t>
      </w:r>
      <w:proofErr w:type="spellStart"/>
      <w:r>
        <w:rPr>
          <w:rFonts w:ascii="Times New Roman" w:eastAsia="Times New Roman" w:hAnsi="Times New Roman" w:cs="Times New Roman"/>
          <w:sz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atenderá às necessidades da Prefeitura Municipal de Itaboraí com a reposição dos estoques para atender o bom andamento dos trabalhos desenvolvidos pelos funcionários para o atend</w:t>
      </w:r>
      <w:r>
        <w:rPr>
          <w:rFonts w:ascii="Times New Roman" w:eastAsia="Times New Roman" w:hAnsi="Times New Roman" w:cs="Times New Roman"/>
          <w:sz w:val="24"/>
        </w:rPr>
        <w:t>imento aos munícipes;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 – A motivação da contratação consubstancia-se em recompor os estoques de </w:t>
      </w:r>
      <w:proofErr w:type="gramStart"/>
      <w:r>
        <w:rPr>
          <w:rFonts w:ascii="Times New Roman" w:eastAsia="Times New Roman" w:hAnsi="Times New Roman" w:cs="Times New Roman"/>
          <w:sz w:val="24"/>
        </w:rPr>
        <w:t>materiais</w:t>
      </w:r>
      <w:proofErr w:type="gramEnd"/>
      <w:r>
        <w:rPr>
          <w:rFonts w:ascii="Times New Roman" w:eastAsia="Times New Roman" w:hAnsi="Times New Roman" w:cs="Times New Roman"/>
          <w:sz w:val="24"/>
        </w:rPr>
        <w:t>, de modo a permitir que os funcionários desenvolvam seus trabalhos de forma ágil e eficaz;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– Os benefícios diretos da aquisição estão relacio</w:t>
      </w:r>
      <w:r>
        <w:rPr>
          <w:rFonts w:ascii="Times New Roman" w:eastAsia="Times New Roman" w:hAnsi="Times New Roman" w:cs="Times New Roman"/>
          <w:sz w:val="24"/>
        </w:rPr>
        <w:t xml:space="preserve">nados a manutenção de um estoque seguro e necessário de materiais para a Prefeitura Municipal de Itaboraí, de modo a municiar todas as equipes com todas as ferramentas necessárias para o bom andamento dos trabalhos. Os benefícios indiretos são inúmeros, a </w:t>
      </w:r>
      <w:r>
        <w:rPr>
          <w:rFonts w:ascii="Times New Roman" w:eastAsia="Times New Roman" w:hAnsi="Times New Roman" w:cs="Times New Roman"/>
          <w:sz w:val="24"/>
        </w:rPr>
        <w:t>começar pela garantia da não paralisação dos serviços continuados, culminando com a manutenção da qualidade e eficiência da prestação dos serviços e terminando por propriamente viabilizar a implementação de novos procedimentos administrativos;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 – Quant</w:t>
      </w:r>
      <w:r>
        <w:rPr>
          <w:rFonts w:ascii="Times New Roman" w:eastAsia="Times New Roman" w:hAnsi="Times New Roman" w:cs="Times New Roman"/>
          <w:sz w:val="24"/>
        </w:rPr>
        <w:t>o a conexão entre o planejamento e a contratação aqui ansiada, importante esclarecer que todos os produtos estão dentro das normas aplicadas pela ABNT – Associação Brasileira de Normas Técnicas;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 – As quantidades de cada produto foram previamente solic</w:t>
      </w:r>
      <w:r>
        <w:rPr>
          <w:rFonts w:ascii="Times New Roman" w:eastAsia="Times New Roman" w:hAnsi="Times New Roman" w:cs="Times New Roman"/>
          <w:sz w:val="24"/>
        </w:rPr>
        <w:t xml:space="preserve">itadas a cada Secretaria Municipal, gerando uma planilha única que encontrasse no corpo deste Termo de </w:t>
      </w:r>
      <w:proofErr w:type="spellStart"/>
      <w:r>
        <w:rPr>
          <w:rFonts w:ascii="Times New Roman" w:eastAsia="Times New Roman" w:hAnsi="Times New Roman" w:cs="Times New Roman"/>
          <w:sz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 – Dito isso, cremos estar plenamente demonstrada a importância singular desse processo e o enorme grau de representatividade dos produto</w:t>
      </w:r>
      <w:r>
        <w:rPr>
          <w:rFonts w:ascii="Times New Roman" w:eastAsia="Times New Roman" w:hAnsi="Times New Roman" w:cs="Times New Roman"/>
          <w:sz w:val="24"/>
        </w:rPr>
        <w:t>s no arsenal da Prefeitura Municipal de Itaboraí, sendo de importância imperativa que não nos faltem para o regular cumprimento de nossas atividades tanto de alta, média ou baixa complexidade.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3 – OBJETIVO DO TERMO DE REFERÊNCIA:</w:t>
      </w:r>
      <w:r>
        <w:rPr>
          <w:rFonts w:ascii="Times New Roman" w:eastAsia="Times New Roman" w:hAnsi="Times New Roman" w:cs="Times New Roman"/>
          <w:sz w:val="24"/>
        </w:rPr>
        <w:t xml:space="preserve"> Este documento tem por f</w:t>
      </w:r>
      <w:r>
        <w:rPr>
          <w:rFonts w:ascii="Times New Roman" w:eastAsia="Times New Roman" w:hAnsi="Times New Roman" w:cs="Times New Roman"/>
          <w:sz w:val="24"/>
        </w:rPr>
        <w:t xml:space="preserve">inalidade fornecer dados e informações mínimas necessárias aos interessados em </w:t>
      </w:r>
      <w:r>
        <w:rPr>
          <w:rFonts w:ascii="Times New Roman" w:eastAsia="Times New Roman" w:hAnsi="Times New Roman" w:cs="Times New Roman"/>
          <w:sz w:val="24"/>
        </w:rPr>
        <w:lastRenderedPageBreak/>
        <w:t>participar do certame licitatório, promovido para fornecimento do acima referido, bem como estabelecer as obrigações da empresa;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04 – OBJETO E QUANTITATIVO: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5144"/>
        <w:gridCol w:w="998"/>
        <w:gridCol w:w="1265"/>
      </w:tblGrid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QUANT.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Bloco de BIM - Boletim de Informação Médica em 04 vias, sendo a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ª  branca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a  2ª  azul, a 3ª rosa  e a 4ª amarela - 25 vias, 16 x 21 cm 1/0.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601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Bloco Guia de Remessa 50x2 - 15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20,5 cm - 1ª via branca e 2ª via amarela - papel 50 g - 50 vias 1/0.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869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Envelope ofício timbrado branco, 11,5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 cm 90 g 1/0.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13.590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Envelope saco pardo timbrado, 26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 cm 90 g 1/0.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15.715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salário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 cm - frente e verso - papel 180 g.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411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Capa de Processo papel cartão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bristol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azul, 240 g 33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48 cm 1/0.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57.540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Bloco de requisição de material, em 02 vias, sendo a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ª  branca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a 2ª cinza com 30 vias, 16 x 19 cm 1/0.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1.402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Capa de Processo SF – sem janela – papel cartão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bristol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azul e verde, 240g/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Medidas: (A) 32,5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48,0 e (F) 32,5 x 24,0cm - 3x0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</w:t>
            </w:r>
            <w:r>
              <w:rPr>
                <w:rFonts w:ascii="Times New Roman" w:eastAsia="Times New Roman" w:hAnsi="Times New Roman" w:cs="Times New Roman"/>
                <w:sz w:val="24"/>
              </w:rPr>
              <w:t>D.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Folha “Convocação” impresso a1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Folha “Declaração de Comparecimento” impresso a1 cor preto em papel AP 75, tamanho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4.600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Folha “Encaminhamento” impresso a1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“Atendimento Idoso” impresso a1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“Medida Socioeducativa” impresso a1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Folha de Evolução, impresso a1 cor preto em papel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Ficha de Acolhida impresso a1 cor preto em papel AP 75, tamanho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Acompanhamento Jurídico/Saúde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3.800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Acompanhamento PIA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Gratuidade de Justiça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Residência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Residência COM VISITA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Convocação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Documentos Bolsa Família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Documentos Bolsa Família Adulto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Protocolo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Pasta com Bolsa, impressão colorida em papel cartão 250g. tamanho 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32 cm. com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plastificação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Blocos Sec. Des. Social, 30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A5, capa em papel reciclado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Cartaz Conselho Tutelar impressão colorida em papel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150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Timbrado Conselho Tutelar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Envelope SACO Conselho Tutelar impressão colorida em papel AP 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Capa de Processo Rosa Conselho Tutelar impresso a 1 cor em papel cartão Bristol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180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23x32 (fechado)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Acompanhamento Familiar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Encaminhamento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Exclusão de Pessoa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Substituição de Responsável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Comparecimento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Encaminhamento Bolsa Família,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Registro das Famílias Incluídas,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Residência com 100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Jogos com capa: Formulário de Atendimento Social com 3 folhas impresso a 1 cor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A4. Capa em papel AP 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Formulário Único SEMDS,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A3 com dobra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Desvinculação - SCFV,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4.800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Cadastro Provisório - SCFV,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4.800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Hipossuficiência,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Recibo de Entrega do Cartão RIOCARD, impresso a 1 cor preto 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de RIOCARD, impresso a 1 cor preto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Referência e Contra Referência,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Encaminhamento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Termo de Responsabilidade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Ficha de Registro Atendimento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Termo de Responsabilidade Pais e Responsáveis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Encaminhamento a Defensoria Pública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Declaração de Entrega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Notificação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Termo de Aplicação de Medida CONSELHO TUTELAR com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Termo de Advertência CONSELHO TUTELAR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om 100 folhas impressão colorida em papel AP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75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Folder impressão colorida em papel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Brilho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90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 com duas dobras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UNID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Panfletos impressão colorida em papel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Brilho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90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Cartaz impressão colorida em papel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Brilho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90 tamanho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Banner, 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Vinílica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440g, impressão digital, tamanho 2,0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1,0 m. Acabamento: bastão, ponteira e cordão.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CC3C5A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C5A" w:rsidRDefault="00BF311A">
            <w:pPr>
              <w:spacing w:after="0" w:line="360" w:lineRule="auto"/>
              <w:ind w:left="60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Adesivo para-brisas, adesivo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vinílico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impressão digital, tamanho 10,0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40,0 cm. Acabamento: bastão, ponteira e cordão.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C5A" w:rsidRDefault="00BF311A">
            <w:pPr>
              <w:spacing w:after="0" w:line="360" w:lineRule="auto"/>
              <w:ind w:left="60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</w:tbl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05 – MÉTODOS E ESTRATÉGIA DE SUPRIMENTOS:</w:t>
      </w:r>
      <w:r>
        <w:rPr>
          <w:rFonts w:ascii="Times New Roman" w:eastAsia="Times New Roman" w:hAnsi="Times New Roman" w:cs="Times New Roman"/>
          <w:sz w:val="24"/>
        </w:rPr>
        <w:t xml:space="preserve"> O prazo de entrega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s) objeto(s) é de 15 (quinze) dias, contados da retirada da </w:t>
      </w:r>
      <w:r>
        <w:rPr>
          <w:rFonts w:ascii="Times New Roman" w:eastAsia="Times New Roman" w:hAnsi="Times New Roman" w:cs="Times New Roman"/>
          <w:sz w:val="24"/>
        </w:rPr>
        <w:t>nota de empenho pela Contratada;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deverá(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ser entregue(s) de segunda a sexta-feira, das 09 às 16 horas, no Almoxarifado Central, localizado à Rua Doutor Pereira dos Santos, S/n.º, Centro – Itaboraí/RJ;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não poderá(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ter validade na data da entrega inferior a 2/3 (dois terços) do prazo total recomendado pelo fabricante, contra defeitos decorrentes de fabricação e deverá ser realizada a substituição quando for o caso, sem qualquer ônus à Pr</w:t>
      </w:r>
      <w:r>
        <w:rPr>
          <w:rFonts w:ascii="Times New Roman" w:eastAsia="Times New Roman" w:hAnsi="Times New Roman" w:cs="Times New Roman"/>
          <w:sz w:val="24"/>
        </w:rPr>
        <w:t>efeitura Municipal de Itaboraí;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Correrão por conta da Contratada, até a entrega do objeto, todas as despesas referentes à entrega do objeto, como, por exemplo, frete, tributo,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deverá(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ser entregue(s) em perfeito estado e em sua(s) </w:t>
      </w:r>
      <w:r>
        <w:rPr>
          <w:rFonts w:ascii="Times New Roman" w:eastAsia="Times New Roman" w:hAnsi="Times New Roman" w:cs="Times New Roman"/>
          <w:sz w:val="24"/>
        </w:rPr>
        <w:t>embalagem(</w:t>
      </w:r>
      <w:proofErr w:type="spellStart"/>
      <w:r>
        <w:rPr>
          <w:rFonts w:ascii="Times New Roman" w:eastAsia="Times New Roman" w:hAnsi="Times New Roman" w:cs="Times New Roman"/>
          <w:sz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</w:rPr>
        <w:t>) original(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e em língua portuguesa ou rótulo com as mesmas características, a data de fabricação, modelo, garantia, prazo de validade, lote e o </w:t>
      </w:r>
      <w:proofErr w:type="spellStart"/>
      <w:r>
        <w:rPr>
          <w:rFonts w:ascii="Times New Roman" w:eastAsia="Times New Roman" w:hAnsi="Times New Roman" w:cs="Times New Roman"/>
          <w:sz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registro de INMETRO, etc.; 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Poderá ser dispensado o recebimento provisório. Dispensad</w:t>
      </w:r>
      <w:r>
        <w:rPr>
          <w:rFonts w:ascii="Times New Roman" w:eastAsia="Times New Roman" w:hAnsi="Times New Roman" w:cs="Times New Roman"/>
          <w:sz w:val="24"/>
        </w:rPr>
        <w:t>o, o mesmo será substituído por recibo a ser emitido pelo responsável do Almoxarifado Central;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deverá(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ser entregues acompanhados da nota fiscal, onde constará detalhadamente, entre outros, as indicações da marca, fabricante, modelo, pr</w:t>
      </w:r>
      <w:r>
        <w:rPr>
          <w:rFonts w:ascii="Times New Roman" w:eastAsia="Times New Roman" w:hAnsi="Times New Roman" w:cs="Times New Roman"/>
          <w:sz w:val="24"/>
        </w:rPr>
        <w:t xml:space="preserve">ocedência, garantia e seu prazo,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será(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recebido(s) definitivamente no prazo de 05 (cinco) dias, contados do recebimento provisório, pelo requisitante, após a verificação da qualidade e quantidade do material e </w:t>
      </w:r>
      <w:proofErr w:type="spellStart"/>
      <w:r>
        <w:rPr>
          <w:rFonts w:ascii="Times New Roman" w:eastAsia="Times New Roman" w:hAnsi="Times New Roman" w:cs="Times New Roman"/>
          <w:sz w:val="24"/>
        </w:rPr>
        <w:t>conseqüente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aceitação </w:t>
      </w:r>
      <w:r>
        <w:rPr>
          <w:rFonts w:ascii="Times New Roman" w:eastAsia="Times New Roman" w:hAnsi="Times New Roman" w:cs="Times New Roman"/>
          <w:sz w:val="24"/>
        </w:rPr>
        <w:t>mediante termo circunstanciado;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 hipótese de a verificação a que se refere à cláusula anterior não ser procedida dentro do prazo fixado, reputar-se-á como realizada, consumando-se o recebimento definitivo no dia do esgotamento do prazo.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recebimento </w:t>
      </w:r>
      <w:r>
        <w:rPr>
          <w:rFonts w:ascii="Times New Roman" w:eastAsia="Times New Roman" w:hAnsi="Times New Roman" w:cs="Times New Roman"/>
          <w:sz w:val="24"/>
        </w:rPr>
        <w:t xml:space="preserve">provisório ou definitivo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não exclui a responsabilidade da Contratada pelos prejuízos resultantes da incorreta execução do Contrato;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recebimento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>s) objeto(s) de valor(es) superior(res) a R$ 176.000,00 (cento e setenta e seis mil reais)</w:t>
      </w:r>
      <w:r>
        <w:rPr>
          <w:rFonts w:ascii="Times New Roman" w:eastAsia="Times New Roman" w:hAnsi="Times New Roman" w:cs="Times New Roman"/>
          <w:sz w:val="24"/>
        </w:rPr>
        <w:t xml:space="preserve"> será confiado a uma comissão de, no mínimo, 03 (três) membros, designados pela autoridade competente.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06 - VALIDADE DAS PROPOSTAS:</w:t>
      </w:r>
      <w:r>
        <w:rPr>
          <w:rFonts w:ascii="Times New Roman" w:eastAsia="Times New Roman" w:hAnsi="Times New Roman" w:cs="Times New Roman"/>
          <w:sz w:val="24"/>
        </w:rPr>
        <w:t xml:space="preserve"> O Prazo de validade das propostas não deverá ser inferior a 60 (sessenta) dias a contar da data de sua emissão.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07 - VALID</w:t>
      </w:r>
      <w:r>
        <w:rPr>
          <w:rFonts w:ascii="Times New Roman" w:eastAsia="Times New Roman" w:hAnsi="Times New Roman" w:cs="Times New Roman"/>
          <w:b/>
          <w:sz w:val="24"/>
        </w:rPr>
        <w:t>ADE DO REGISTRO:</w:t>
      </w:r>
      <w:r>
        <w:rPr>
          <w:rFonts w:ascii="Times New Roman" w:eastAsia="Times New Roman" w:hAnsi="Times New Roman" w:cs="Times New Roman"/>
          <w:sz w:val="24"/>
        </w:rPr>
        <w:t xml:space="preserve"> A ata de registro de preços terá validade de 12 (doze) meses, contados a partir de sua publicação.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08 - DA ADESÃO A ATA DE REGISTRO DE PREÇOS: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Poderão utilizar-se da Ata de Registro de Preços os órgãos participantes e beneficiários, ou q</w:t>
      </w:r>
      <w:r>
        <w:rPr>
          <w:rFonts w:ascii="Times New Roman" w:eastAsia="Times New Roman" w:hAnsi="Times New Roman" w:cs="Times New Roman"/>
          <w:sz w:val="24"/>
        </w:rPr>
        <w:t>ualquer outro órgão/entidade da Administração Pública que não tenha participado do certame objeto deste Termo de Referência, mediante prévia consulta ao gerenciador, desde que devidamente comprovada a vantagem, respeitando o limite contido no Decreto 195/2</w:t>
      </w:r>
      <w:r>
        <w:rPr>
          <w:rFonts w:ascii="Times New Roman" w:eastAsia="Times New Roman" w:hAnsi="Times New Roman" w:cs="Times New Roman"/>
          <w:sz w:val="24"/>
        </w:rPr>
        <w:t>021;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órgãos e entidades que não participaram do registro de preços, quando desejarem fazer uso da ata de registro de preços, deverão consultar o órgão gerenciador da ata para manifestação sobre a possibilidade de adesão;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fornecedor registrado fica proibido de firmar contratos decorrentes da Ata de Registro de Preços sem prévia autorização da Secretaria Municipal de Administração;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Caberá aos fornecedores beneficiários da Ata de Registro de Preços, observadas as condições</w:t>
      </w:r>
      <w:r>
        <w:rPr>
          <w:rFonts w:ascii="Times New Roman" w:eastAsia="Times New Roman" w:hAnsi="Times New Roman" w:cs="Times New Roman"/>
          <w:sz w:val="24"/>
        </w:rPr>
        <w:t xml:space="preserve"> nela estabelecida, optar pela aceitação ou não do fornecimento aos não participantes que solicitem adesão à Ata de Registro de Preços acima do quantitativo previsto, desde que este fornecimento não prejudique as obrigações anteriormente assumidas respeita</w:t>
      </w:r>
      <w:r>
        <w:rPr>
          <w:rFonts w:ascii="Times New Roman" w:eastAsia="Times New Roman" w:hAnsi="Times New Roman" w:cs="Times New Roman"/>
          <w:sz w:val="24"/>
        </w:rPr>
        <w:t>das o disposto no Decreto Municipal supramencionado;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solicitações de adesão, concessão de anuência pelo fornecedor e autorização do órgão gerenciador serão realizadas por meio da Secretaria Municipal de Administração. 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09 - AMOSTRA: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O licitante provis</w:t>
      </w:r>
      <w:r>
        <w:rPr>
          <w:rFonts w:ascii="Times New Roman" w:eastAsia="Times New Roman" w:hAnsi="Times New Roman" w:cs="Times New Roman"/>
          <w:sz w:val="24"/>
        </w:rPr>
        <w:t xml:space="preserve">oriamente classificado em primeiro lugar deverá, quando solicitado, apresentar catálogo ou amostra dos produtos licitados, após 05 (cinco) dias úteis do encerramento da sessão de lances, no Almoxarifado Central, localizado à Rua Doutor Pereira dos Santos, </w:t>
      </w:r>
      <w:r>
        <w:rPr>
          <w:rFonts w:ascii="Times New Roman" w:eastAsia="Times New Roman" w:hAnsi="Times New Roman" w:cs="Times New Roman"/>
          <w:sz w:val="24"/>
        </w:rPr>
        <w:t>S/n.º, Centro – Itaboraí/RJ, entre 10:00 e 16:00 horas, para a verificação da compatibilidade com as especificações deste Termo de Referência e consequente aceitação da proposta;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Equipe técnica tem o prazo de 03 (três) dias úteis, a contar da entrega do</w:t>
      </w:r>
      <w:r>
        <w:rPr>
          <w:rFonts w:ascii="Times New Roman" w:eastAsia="Times New Roman" w:hAnsi="Times New Roman" w:cs="Times New Roman"/>
          <w:sz w:val="24"/>
        </w:rPr>
        <w:t xml:space="preserve"> catálogo para identificação da necessidade de amostras, bem como o mesmo prazo para a análise da amostra.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critérios objetivos e eventuais normas técnicas, a serem utilizados pela Equipe técnica na avaliação das amostras, estão dispostos no Anexo I des</w:t>
      </w:r>
      <w:r>
        <w:rPr>
          <w:rFonts w:ascii="Times New Roman" w:eastAsia="Times New Roman" w:hAnsi="Times New Roman" w:cs="Times New Roman"/>
          <w:sz w:val="24"/>
        </w:rPr>
        <w:t>te Termo de Referência.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avaliação das amostras, quando couber, os produtos poderão ser abertos, </w:t>
      </w:r>
      <w:proofErr w:type="spellStart"/>
      <w:r>
        <w:rPr>
          <w:rFonts w:ascii="Times New Roman" w:eastAsia="Times New Roman" w:hAnsi="Times New Roman" w:cs="Times New Roman"/>
          <w:sz w:val="24"/>
        </w:rPr>
        <w:t>desmonstados</w:t>
      </w:r>
      <w:proofErr w:type="spellEnd"/>
      <w:r>
        <w:rPr>
          <w:rFonts w:ascii="Times New Roman" w:eastAsia="Times New Roman" w:hAnsi="Times New Roman" w:cs="Times New Roman"/>
          <w:sz w:val="24"/>
        </w:rPr>
        <w:t>, instalados, conectados a equipamentos e submetidos aos testes necessários.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amostra deverá estar devidamente identificada com o nome do licitante, conter os respectivos manuais, se for o caso, e dispor na embalagem de informações quanto às suas </w:t>
      </w:r>
      <w:proofErr w:type="spellStart"/>
      <w:r>
        <w:rPr>
          <w:rFonts w:ascii="Times New Roman" w:eastAsia="Times New Roman" w:hAnsi="Times New Roman" w:cs="Times New Roman"/>
          <w:sz w:val="24"/>
        </w:rPr>
        <w:t>caracteristicas</w:t>
      </w:r>
      <w:proofErr w:type="spellEnd"/>
      <w:r>
        <w:rPr>
          <w:rFonts w:ascii="Times New Roman" w:eastAsia="Times New Roman" w:hAnsi="Times New Roman" w:cs="Times New Roman"/>
          <w:sz w:val="24"/>
        </w:rPr>
        <w:t>, tais como data de fabricação, prazo de validade, quantidade do produ</w:t>
      </w:r>
      <w:r>
        <w:rPr>
          <w:rFonts w:ascii="Times New Roman" w:eastAsia="Times New Roman" w:hAnsi="Times New Roman" w:cs="Times New Roman"/>
          <w:sz w:val="24"/>
        </w:rPr>
        <w:t xml:space="preserve">to, sua marca, número de referência, </w:t>
      </w:r>
      <w:proofErr w:type="spellStart"/>
      <w:r>
        <w:rPr>
          <w:rFonts w:ascii="Times New Roman" w:eastAsia="Times New Roman" w:hAnsi="Times New Roman" w:cs="Times New Roman"/>
          <w:sz w:val="24"/>
        </w:rPr>
        <w:t>codigo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produto e modelo.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Caso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>s) catálogo(s) não seja(m) suficiente(s) para confirmar que o(s) produto(s) apresentado(s) corresponde(m) ao(s) àquele(s) do certame, deve ser solicitada 01 (uma) amostra do item para</w:t>
      </w:r>
      <w:r>
        <w:rPr>
          <w:rFonts w:ascii="Times New Roman" w:eastAsia="Times New Roman" w:hAnsi="Times New Roman" w:cs="Times New Roman"/>
          <w:sz w:val="24"/>
        </w:rPr>
        <w:t xml:space="preserve"> análise, a ser apresentada no prazo de . (03 (três) dias úteis)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Não será aceita a proposta da licitante que tiver amostra rejeitada.</w:t>
      </w: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licitante que não enviar amostra, ou que não </w:t>
      </w:r>
      <w:proofErr w:type="gramStart"/>
      <w:r>
        <w:rPr>
          <w:rFonts w:ascii="Times New Roman" w:eastAsia="Times New Roman" w:hAnsi="Times New Roman" w:cs="Times New Roman"/>
          <w:sz w:val="24"/>
        </w:rPr>
        <w:t>apresentá-la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prazo estabelecido, ficará sujeito a aplicação de penalida</w:t>
      </w:r>
      <w:r>
        <w:rPr>
          <w:rFonts w:ascii="Times New Roman" w:eastAsia="Times New Roman" w:hAnsi="Times New Roman" w:cs="Times New Roman"/>
          <w:sz w:val="24"/>
        </w:rPr>
        <w:t>des, estabelecidas neste Termo de Referência.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bookmarkEnd w:id="0"/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10 - QUALIFICAÇÃO TECNICA:</w:t>
      </w:r>
      <w:r>
        <w:rPr>
          <w:rFonts w:ascii="Times New Roman" w:eastAsia="Times New Roman" w:hAnsi="Times New Roman" w:cs="Times New Roman"/>
          <w:sz w:val="24"/>
        </w:rPr>
        <w:t xml:space="preserve"> Comprovação de que o licitante forneceu, sem restrição, objeto igual ou semelhante ao indicado neste Termo. A comprovação será feita por meio de apresentação de no mínimo 01 (um) ate</w:t>
      </w:r>
      <w:r>
        <w:rPr>
          <w:rFonts w:ascii="Times New Roman" w:eastAsia="Times New Roman" w:hAnsi="Times New Roman" w:cs="Times New Roman"/>
          <w:sz w:val="24"/>
        </w:rPr>
        <w:t>stado, devidamente assinado, carimbado e em papel timbrado da empresa ou órgão comprador, compatível com o objeto da licitação.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produtos a serem fornecidos deverão obedecer às normas e especificações da Associação Brasileira de Normas Técnicas – ABNT e</w:t>
      </w:r>
      <w:r>
        <w:rPr>
          <w:rFonts w:ascii="Times New Roman" w:eastAsia="Times New Roman" w:hAnsi="Times New Roman" w:cs="Times New Roman"/>
          <w:sz w:val="24"/>
        </w:rPr>
        <w:t xml:space="preserve"> NBR correspondentes.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 – OBRIGAÇÕES DA CONTRATANTE E CONTRATADA: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11.1 Constituem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obrigações da CONTRATANTE: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Fornecer à Contratada as condições necessárias a regular execução das obrigações assumidas;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Acompanhar e fiscalizar a execução do fornecimento contratado, podendo, a seu critério, realizar testes nos materiais fornecidos de forma a verificar a compatibilidade dos mesmos com as especificações constantes.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Atestar nas notas fiscais/fatura a efetiva</w:t>
      </w:r>
      <w:r>
        <w:rPr>
          <w:rFonts w:ascii="Times New Roman" w:eastAsia="Times New Roman" w:hAnsi="Times New Roman" w:cs="Times New Roman"/>
          <w:sz w:val="24"/>
        </w:rPr>
        <w:t xml:space="preserve"> entrega do objeto contratado e o seu recebimento;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Manifestar-se formalmente em todos os atos relativos à execução do objeto contratado, em especial, aplicação de sanções e alterações do mesmo;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Prestar as informações e os esclarecimentos que venham a ser</w:t>
      </w:r>
      <w:r>
        <w:rPr>
          <w:rFonts w:ascii="Times New Roman" w:eastAsia="Times New Roman" w:hAnsi="Times New Roman" w:cs="Times New Roman"/>
          <w:sz w:val="24"/>
        </w:rPr>
        <w:t xml:space="preserve"> solicitados pela Contratada.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Receber provisoriamente o material, disponibilizando local, data e horário;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Verificar minuciosamente, no prazo fixado, a conformidade dos bens recebidos provisoriamente com as especificações constantes do Edital e da propost</w:t>
      </w:r>
      <w:r>
        <w:rPr>
          <w:rFonts w:ascii="Times New Roman" w:eastAsia="Times New Roman" w:hAnsi="Times New Roman" w:cs="Times New Roman"/>
          <w:sz w:val="24"/>
        </w:rPr>
        <w:t>a, para fins de aceitação e recebimento definitivos;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Acompanhar e fiscalizar o cumprimento das obrigações da Contratada, através de servidor especialmente designado.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11.2 - Constituem obrigações da CONTRATADA: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Efetuar a entrega dos bens em perfeitas con</w:t>
      </w:r>
      <w:r>
        <w:rPr>
          <w:rFonts w:ascii="Times New Roman" w:eastAsia="Times New Roman" w:hAnsi="Times New Roman" w:cs="Times New Roman"/>
          <w:sz w:val="24"/>
        </w:rPr>
        <w:t>dições, no prazo em local indicado pela Administração, em estrita observância das especificações do Edital e da proposta, acompanhado da respectiva nota fiscal constando detalhadamente as indicações da marca, fabricante, tipo, procedência e prazo de valida</w:t>
      </w:r>
      <w:r>
        <w:rPr>
          <w:rFonts w:ascii="Times New Roman" w:eastAsia="Times New Roman" w:hAnsi="Times New Roman" w:cs="Times New Roman"/>
          <w:sz w:val="24"/>
        </w:rPr>
        <w:t>de;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Responsabilizar-se pelos vícios e danos decorrentes do produto, de acordo com os artigos 12, 13, 18 e 26, do Código de Defesa do Consumidor (Lei nº 8.078, de 1990);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dever previsto no parágrafo anterior implica na obrigação de, a critério da Adminis</w:t>
      </w:r>
      <w:r>
        <w:rPr>
          <w:rFonts w:ascii="Times New Roman" w:eastAsia="Times New Roman" w:hAnsi="Times New Roman" w:cs="Times New Roman"/>
          <w:sz w:val="24"/>
        </w:rPr>
        <w:t>tração, substituir, reparar, corrigir, remover, ou reconstruir, às suas expensas, no prazo máximo de 48 (quarenta e oito) horas, o produto com avarias ou defeitos;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Atender prontamente a quaisquer exigências da Administração, inerentes ao objeto da present</w:t>
      </w:r>
      <w:r>
        <w:rPr>
          <w:rFonts w:ascii="Times New Roman" w:eastAsia="Times New Roman" w:hAnsi="Times New Roman" w:cs="Times New Roman"/>
          <w:sz w:val="24"/>
        </w:rPr>
        <w:t>e licitação;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Comunicar à Administração, no prazo máximo de 24 (vinte e quatro) horas que antecede a data da entrega, os motivos que impossibilitem o cumprimento do prazo previsto, com a devida comprovação;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Manter, durante toda a execução do contrato, em compatibilidade com as obrigações assumidas, todas as condições de habilitação e qualificação exigidas na licitação;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Não transferir a terceiros, por qualquer forma, nem mesmo parcialmente, as obrigações assu</w:t>
      </w:r>
      <w:r>
        <w:rPr>
          <w:rFonts w:ascii="Times New Roman" w:eastAsia="Times New Roman" w:hAnsi="Times New Roman" w:cs="Times New Roman"/>
          <w:sz w:val="24"/>
        </w:rPr>
        <w:t>midas, nem subcontratar qualquer das prestações a que está obrigada, exceto nas condições autorizadas no Termo de Referência ou na minuta de contrato;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Responsabilizarem-se pelas despesas dos tributos, encargos trabalhistas, previdenciários, fiscais, comer</w:t>
      </w:r>
      <w:r>
        <w:rPr>
          <w:rFonts w:ascii="Times New Roman" w:eastAsia="Times New Roman" w:hAnsi="Times New Roman" w:cs="Times New Roman"/>
          <w:sz w:val="24"/>
        </w:rPr>
        <w:t>ciais, taxas, fretes, seguros, deslocamento de pessoal, prestação de garantia e quaisquer outras que incidam ou venham a incidir na execução do contrato.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DA SUBCONTRATAÇÃO:</w:t>
      </w:r>
      <w:r>
        <w:rPr>
          <w:rFonts w:ascii="Times New Roman" w:eastAsia="Times New Roman" w:hAnsi="Times New Roman" w:cs="Times New Roman"/>
          <w:sz w:val="24"/>
        </w:rPr>
        <w:t xml:space="preserve"> Não se admite a exigência de subcontratação para o fornecimento de bens, excet</w:t>
      </w:r>
      <w:r>
        <w:rPr>
          <w:rFonts w:ascii="Times New Roman" w:eastAsia="Times New Roman" w:hAnsi="Times New Roman" w:cs="Times New Roman"/>
          <w:sz w:val="24"/>
        </w:rPr>
        <w:t>o quando estiver vinculado à prestação de serviços acessórios. Observe-se, ainda, que é vedada a sub-rogação completa ou da parcela principal da obrigação (Decreto nº 8.538, de 2015, art. 7º, inciso I e §2º).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DA ALTERAÇÃO SUBJETIVA:</w:t>
      </w:r>
      <w:r>
        <w:rPr>
          <w:rFonts w:ascii="Times New Roman" w:eastAsia="Times New Roman" w:hAnsi="Times New Roman" w:cs="Times New Roman"/>
          <w:sz w:val="24"/>
        </w:rPr>
        <w:t xml:space="preserve"> É admissível a fus</w:t>
      </w:r>
      <w:r>
        <w:rPr>
          <w:rFonts w:ascii="Times New Roman" w:eastAsia="Times New Roman" w:hAnsi="Times New Roman" w:cs="Times New Roman"/>
          <w:sz w:val="24"/>
        </w:rPr>
        <w:t>ão, cisão ou incorporação da contratada com/em outra pessoa jurídica, desde que sejam observados pela nova pessoa jurídica todos os requisitos de habilitação exigidos na licitação original; sejam mantidas as demais cláusulas e condições do contrato; não ha</w:t>
      </w:r>
      <w:r>
        <w:rPr>
          <w:rFonts w:ascii="Times New Roman" w:eastAsia="Times New Roman" w:hAnsi="Times New Roman" w:cs="Times New Roman"/>
          <w:sz w:val="24"/>
        </w:rPr>
        <w:t>ja prejuízo à execução do objeto pactuado e haja a anuência expressa da Administração à continuidade do contrato.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DO CONTROLE SOBRE A EXECUÇÃO DO CONTRATO:</w:t>
      </w:r>
      <w:r>
        <w:rPr>
          <w:rFonts w:ascii="Times New Roman" w:eastAsia="Times New Roman" w:hAnsi="Times New Roman" w:cs="Times New Roman"/>
          <w:sz w:val="24"/>
        </w:rPr>
        <w:t xml:space="preserve"> Nos termos do artigo 67 da Lei Federal n.º 8.666, de 21 de junho de 1993, será designado representante para acompanhar e fiscalizar a entrega dos bens, anotando em registro próprio todas as ocorrências relacionadas com a execução e determinando o que for </w:t>
      </w:r>
      <w:r>
        <w:rPr>
          <w:rFonts w:ascii="Times New Roman" w:eastAsia="Times New Roman" w:hAnsi="Times New Roman" w:cs="Times New Roman"/>
          <w:sz w:val="24"/>
        </w:rPr>
        <w:t>necessário à regularização de falhas ou defeitos observados;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fiscalização de que trata este item não exclui nem reduz a responsabilidade da Contratada, inclusive perante terceiros, por qualquer irregularidade, ainda que resultante de imperfeições técnic</w:t>
      </w:r>
      <w:r>
        <w:rPr>
          <w:rFonts w:ascii="Times New Roman" w:eastAsia="Times New Roman" w:hAnsi="Times New Roman" w:cs="Times New Roman"/>
          <w:sz w:val="24"/>
        </w:rPr>
        <w:t>as ou vícios redibitórios, e, na ocorrência desta, não implica em corresponsabilidade da Administração ou de seus agentes e prepostos, de conformidade com o artigo 70 da Lei Federal n.º 8.666, de 21 de junho de 1993.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DA CLASSIFICAÇÃO DOS BENS COMUNS: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 bens a serem adquiridos enquadram-se na classificação de bens comuns, nos termos da Lei n° 10.520/02.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Informamos que para gerar o quantitativo de material, foi enviado CI Circular a todas as secretarias do Município. Ainda, o quantitativo referente a S</w:t>
      </w:r>
      <w:r>
        <w:rPr>
          <w:rFonts w:ascii="Times New Roman" w:eastAsia="Times New Roman" w:hAnsi="Times New Roman" w:cs="Times New Roman"/>
          <w:sz w:val="24"/>
        </w:rPr>
        <w:t xml:space="preserve">ecretaria de Saúde foi feito através de média das quantidades da </w:t>
      </w:r>
      <w:proofErr w:type="spellStart"/>
      <w:r>
        <w:rPr>
          <w:rFonts w:ascii="Times New Roman" w:eastAsia="Times New Roman" w:hAnsi="Times New Roman" w:cs="Times New Roman"/>
          <w:sz w:val="24"/>
        </w:rPr>
        <w:t>ultima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Ata de Registro de Preços do Fundo Municipal de Saúde.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DO FUNDAMENTO LEGAL:</w:t>
      </w:r>
      <w:r>
        <w:rPr>
          <w:rFonts w:ascii="Times New Roman" w:eastAsia="Times New Roman" w:hAnsi="Times New Roman" w:cs="Times New Roman"/>
          <w:sz w:val="24"/>
        </w:rPr>
        <w:t xml:space="preserve"> A contratação do fornecimento do material, objeto do presente Termo de Referência, tem amparo legal no </w:t>
      </w:r>
      <w:r>
        <w:rPr>
          <w:rFonts w:ascii="Times New Roman" w:eastAsia="Times New Roman" w:hAnsi="Times New Roman" w:cs="Times New Roman"/>
          <w:sz w:val="24"/>
        </w:rPr>
        <w:t>Decreto Municipal n.º 024/2020 e, subsidiariamente, na Lei n.º 8.666/93.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DAS MEDIDAS ACAUTELADORAS:</w:t>
      </w:r>
      <w:r>
        <w:rPr>
          <w:rFonts w:ascii="Times New Roman" w:eastAsia="Times New Roman" w:hAnsi="Times New Roman" w:cs="Times New Roman"/>
          <w:sz w:val="24"/>
        </w:rPr>
        <w:t xml:space="preserve"> A Administração Pública poderá, sem a prévia manifestação do interessado, motivadamente, adotar providências acauteladoras, inclusive retendo o pagamen</w:t>
      </w:r>
      <w:r>
        <w:rPr>
          <w:rFonts w:ascii="Times New Roman" w:eastAsia="Times New Roman" w:hAnsi="Times New Roman" w:cs="Times New Roman"/>
          <w:sz w:val="24"/>
        </w:rPr>
        <w:t>to, em caso de risco iminente, como forma de prevenir a ocorrência de dano de difícil ou impossível reparação.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18. DAS INFRAÇÕES E SANÇÕES ADMINISTRATIVAS: </w:t>
      </w:r>
      <w:r>
        <w:rPr>
          <w:rFonts w:ascii="Times New Roman" w:eastAsia="Times New Roman" w:hAnsi="Times New Roman" w:cs="Times New Roman"/>
          <w:sz w:val="24"/>
        </w:rPr>
        <w:t>A Contratada que cometer algumas das infrações constantes nas Leis Federais nº 8.666, de 21 de junh</w:t>
      </w:r>
      <w:r>
        <w:rPr>
          <w:rFonts w:ascii="Times New Roman" w:eastAsia="Times New Roman" w:hAnsi="Times New Roman" w:cs="Times New Roman"/>
          <w:sz w:val="24"/>
        </w:rPr>
        <w:t>o de 1993, e 10.520, de 17 de julho de 2002, e Decreto Municipal n.º 024/2020, ficará sujeita, sem prejuízo da responsabilidade civil e criminal, as seguintes sanções: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 Comete infração administrativa, nos termos da Lei nº 10.520, de 2002, o licitante</w:t>
      </w:r>
      <w:r>
        <w:rPr>
          <w:rFonts w:ascii="Times New Roman" w:eastAsia="Times New Roman" w:hAnsi="Times New Roman" w:cs="Times New Roman"/>
          <w:sz w:val="24"/>
        </w:rPr>
        <w:t xml:space="preserve">/adjudicatário que: 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18.1.1- Não assinar o termo de contrato ou aceitar/retirar o instrumento equivalente, quando convocado dentro do prazo de validade da proposta;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18.1.2- Não assinar a ata de registro de preços, quando cabível;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18.1.3- Apresentar documentação falsa;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18.1.4- Deixar de entregar os documentos exigidos no certame;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18.1.5- Ensejar o retardamento da execução do objeto;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18.1.6- Não mantiver a proposta;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18.1.7- Cometer fraude fiscal;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18.1.8- Comportar-se de modo ini</w:t>
      </w:r>
      <w:r>
        <w:rPr>
          <w:rFonts w:ascii="Times New Roman" w:eastAsia="Times New Roman" w:hAnsi="Times New Roman" w:cs="Times New Roman"/>
          <w:sz w:val="24"/>
        </w:rPr>
        <w:t>dôneo;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18.2- As sanções do item acima também se aplicam aos integrantes do cadastro de reserva, em pregão para registro de preços que, convocados, não honrarem o compromisso assumido injustificadamente. 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18.2.1-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s) licitante(s) que instados a enviar a </w:t>
      </w:r>
      <w:r>
        <w:rPr>
          <w:rFonts w:ascii="Times New Roman" w:eastAsia="Times New Roman" w:hAnsi="Times New Roman" w:cs="Times New Roman"/>
          <w:sz w:val="24"/>
        </w:rPr>
        <w:t>amostra para a homologação técnica, injustificadamente, deixa (m) de entregá-la (s), ou que não a(s) apresenta(m) no prazo estabelecido, bem como, deixar de entregar documentação para o certame, ou não mantiver a proposta ou comporta-se de modo inidôneo, f</w:t>
      </w:r>
      <w:r>
        <w:rPr>
          <w:rFonts w:ascii="Times New Roman" w:eastAsia="Times New Roman" w:hAnsi="Times New Roman" w:cs="Times New Roman"/>
          <w:sz w:val="24"/>
        </w:rPr>
        <w:t>icará sujeito à multas previstas em Edital/Termo de Referência. (</w:t>
      </w:r>
      <w:proofErr w:type="spellStart"/>
      <w:r>
        <w:rPr>
          <w:rFonts w:ascii="Times New Roman" w:eastAsia="Times New Roman" w:hAnsi="Times New Roman" w:cs="Times New Roman"/>
          <w:sz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7º da Lei 10520/02, Acórdão 299/2011 - Plenário TCU)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18.3- O licitante/adjudicatário que cometer qualquer das infrações discriminadas nos subitens anteriores ficará sujeito, sem prejuízo</w:t>
      </w:r>
      <w:r>
        <w:rPr>
          <w:rFonts w:ascii="Times New Roman" w:eastAsia="Times New Roman" w:hAnsi="Times New Roman" w:cs="Times New Roman"/>
          <w:sz w:val="24"/>
        </w:rPr>
        <w:t xml:space="preserve"> da responsabilidade civil e criminal, às seguintes sanções: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Advertência por falta leves, assim entendidas como aquelas que não acarretarem prejuízos significativos ao objeto da contratação;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Multa administrativa de 20 % (vinte por cento), sobre o v</w:t>
      </w:r>
      <w:r>
        <w:rPr>
          <w:rFonts w:ascii="Times New Roman" w:eastAsia="Times New Roman" w:hAnsi="Times New Roman" w:cs="Times New Roman"/>
          <w:sz w:val="24"/>
        </w:rPr>
        <w:t xml:space="preserve">alor estimado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>s) item (s)prejudicado(s) pela conduta do licitante;</w:t>
      </w: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Suspensão de licitar e impedimento de contratar com o órgão, entidade ou unidade administrativa pela qual a Administração Pública opera e atua concretamente, pelo prazo de até 02 (doi</w:t>
      </w:r>
      <w:r>
        <w:rPr>
          <w:rFonts w:ascii="Times New Roman" w:eastAsia="Times New Roman" w:hAnsi="Times New Roman" w:cs="Times New Roman"/>
          <w:sz w:val="24"/>
        </w:rPr>
        <w:t>s) anos;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A Sanção de impedimento de licitar e contratar prevista neste subitem também é aplicável em quaisquer das hipóteses previstas como infração administrativa no subitem 18.1 deste Termo de Referência.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Declaração de inidoneidade para licitar ou contratar com a Administração Pública, enquanto perdurarem os motivos determinantes da punição ou até que seja promovida a reabilitação perante a própria autoridade que aplicou a penalidade, que será concedida </w:t>
      </w:r>
      <w:r>
        <w:rPr>
          <w:rFonts w:ascii="Times New Roman" w:eastAsia="Times New Roman" w:hAnsi="Times New Roman" w:cs="Times New Roman"/>
          <w:sz w:val="24"/>
        </w:rPr>
        <w:t>sempre que a Contratada ressarcir a Contratante pelos prejuízos causados;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18.4- A penalidade de multa pode ser aplicada cumulativamente com as demais sanções.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18.5- Caso o valor da multa não seja suficiente para cobrir os prejuízos causados pela conduta </w:t>
      </w:r>
      <w:r>
        <w:rPr>
          <w:rFonts w:ascii="Times New Roman" w:eastAsia="Times New Roman" w:hAnsi="Times New Roman" w:cs="Times New Roman"/>
          <w:sz w:val="24"/>
        </w:rPr>
        <w:t>do licitante, o Município poderá cobrar o valor remanescente judicialmente, conforme artigo 419 do Código Civil.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18.6 - As penalidades serão obrigatoriamente registradas no SICAF e comunicados os TCE/RJ.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18.7 - Pela inexecução total ou parcial do objeto </w:t>
      </w:r>
      <w:r>
        <w:rPr>
          <w:rFonts w:ascii="Times New Roman" w:eastAsia="Times New Roman" w:hAnsi="Times New Roman" w:cs="Times New Roman"/>
          <w:sz w:val="24"/>
        </w:rPr>
        <w:t>deste contrato, a Administração pode aplicar à CONTRATADA as seguintes sanções: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Advertência por escrito, quando do não cumprimento de quaisquer das obrigações contratuais consideradas faltas leves, assim entendidas aquelas que não acarretam prejuízos s</w:t>
      </w:r>
      <w:r>
        <w:rPr>
          <w:rFonts w:ascii="Times New Roman" w:eastAsia="Times New Roman" w:hAnsi="Times New Roman" w:cs="Times New Roman"/>
          <w:sz w:val="24"/>
        </w:rPr>
        <w:t>ignificativos para o serviço contratado;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b)Multa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moratória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0,33% (trinta e três </w:t>
      </w:r>
      <w:proofErr w:type="spellStart"/>
      <w:r>
        <w:rPr>
          <w:rFonts w:ascii="Times New Roman" w:eastAsia="Times New Roman" w:hAnsi="Times New Roman" w:cs="Times New Roman"/>
          <w:sz w:val="24"/>
        </w:rPr>
        <w:t>centesimos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cento) por dia de atraso injustificado sobre o valor da parcela inadimplida, até o limite de 30(trinta) dias;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compensatória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até 15% (quinze por cent</w:t>
      </w:r>
      <w:r>
        <w:rPr>
          <w:rFonts w:ascii="Times New Roman" w:eastAsia="Times New Roman" w:hAnsi="Times New Roman" w:cs="Times New Roman"/>
          <w:sz w:val="24"/>
        </w:rPr>
        <w:t xml:space="preserve">o), por inexecução parcial contratual, sobre o valor da parcela inadimplida, a ser aplicada no caso de atraso injustificado superior a 30 (trinta) dias; 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compensatória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até 20% (vinte por cento) sobre o valor total do contrato, no caso de inexecução t</w:t>
      </w:r>
      <w:r>
        <w:rPr>
          <w:rFonts w:ascii="Times New Roman" w:eastAsia="Times New Roman" w:hAnsi="Times New Roman" w:cs="Times New Roman"/>
          <w:sz w:val="24"/>
        </w:rPr>
        <w:t>otal do objeto, cabível na rescisão contratual por culpa da CONTRATADA.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 Suspensão de licitar e impedimento de contratar com o órgão, entidade ou unidade administrativa pela qual a Administração Pública opera e atua concretamente, pelo prazo de até doi</w:t>
      </w:r>
      <w:r>
        <w:rPr>
          <w:rFonts w:ascii="Times New Roman" w:eastAsia="Times New Roman" w:hAnsi="Times New Roman" w:cs="Times New Roman"/>
          <w:sz w:val="24"/>
        </w:rPr>
        <w:t>s anos;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Impedimento de licitar e contratar com a Administração Pública direta ou indireta pelo prazo de até cinco anos, quando houver declaração de inidoneidade, enquanto perdurarem os motivos determinantes da punição ou até que seja promovida a reabil</w:t>
      </w:r>
      <w:r>
        <w:rPr>
          <w:rFonts w:ascii="Times New Roman" w:eastAsia="Times New Roman" w:hAnsi="Times New Roman" w:cs="Times New Roman"/>
          <w:sz w:val="24"/>
        </w:rPr>
        <w:t>itação perante a própria autoridade que aplicou a penalidade, que será concedida sempre que a Administração ressarcira pelos prejuízos causados, depois de decorrido o prazo da sanção aplicada no item anterior.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18.8 - Também ficam sujeitas às penalidades do artigo 87, incisos III e IV, da Lei Federal n.º 8.666, de 21 de junho de 1993, as empresas ou profissionais que: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18.8.1 - Tenham sofrido condenação definitiva por praticar, por meio dolosos, fraude fiscal no </w:t>
      </w:r>
      <w:r>
        <w:rPr>
          <w:rFonts w:ascii="Times New Roman" w:eastAsia="Times New Roman" w:hAnsi="Times New Roman" w:cs="Times New Roman"/>
          <w:sz w:val="24"/>
        </w:rPr>
        <w:t>recolhimento de quaisquer tributos;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18.8.2 - Tenham praticado atos ilícitos visando a frustrar os objetivos da licitação;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18.8.3 - Demonstrem não possuir idoneidade para contratar com a Administração em virtude de atos ilícitos praticados.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18.9 - A aplicação de qualquer das penalidades previstas realizar-se-á em processo administrativo que assegurará o contraditório e a ampla defesa à Contratada, observando-se o procedimento previsto na Lei Federal n.º 8.666, de 21 de junho 1993, e, subsidia</w:t>
      </w:r>
      <w:r>
        <w:rPr>
          <w:rFonts w:ascii="Times New Roman" w:eastAsia="Times New Roman" w:hAnsi="Times New Roman" w:cs="Times New Roman"/>
          <w:sz w:val="24"/>
        </w:rPr>
        <w:t>riamente, a Lei Federal n.º 9.784, de 29 de janeiro de 1999;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18.10 - A autoridade competente, na aplicação das sanções, levará em consideração a gravidade da conduta do infrator, o caráter educativo da pena, bem como o dano causado à Administração, observ</w:t>
      </w:r>
      <w:r>
        <w:rPr>
          <w:rFonts w:ascii="Times New Roman" w:eastAsia="Times New Roman" w:hAnsi="Times New Roman" w:cs="Times New Roman"/>
          <w:sz w:val="24"/>
        </w:rPr>
        <w:t>ado o princípio da proporcionalidade.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 – DO PAGAMENTO:</w:t>
      </w:r>
      <w:r>
        <w:rPr>
          <w:rFonts w:ascii="Times New Roman" w:eastAsia="Times New Roman" w:hAnsi="Times New Roman" w:cs="Times New Roman"/>
          <w:sz w:val="24"/>
        </w:rPr>
        <w:t xml:space="preserve"> Os pagamentos serão creditados em conta corrente da titularidade da Contratada, desde que seja instruído com:</w:t>
      </w: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Pedido endereçado ao Ordenador de despesa, onde deverão constar os dados bancários (nom</w:t>
      </w:r>
      <w:r>
        <w:rPr>
          <w:rFonts w:ascii="Times New Roman" w:eastAsia="Times New Roman" w:hAnsi="Times New Roman" w:cs="Times New Roman"/>
          <w:sz w:val="24"/>
        </w:rPr>
        <w:t>e da Instituição Financeira Agencia e Conta Corrente);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nota fiscal, devidamente atestada, e as Certidões de Regularidade do Empregador (FGTS) e da de débitos Relativos a Créditos Tributários Federais e a </w:t>
      </w:r>
      <w:proofErr w:type="spellStart"/>
      <w:r>
        <w:rPr>
          <w:rFonts w:ascii="Times New Roman" w:eastAsia="Times New Roman" w:hAnsi="Times New Roman" w:cs="Times New Roman"/>
          <w:sz w:val="24"/>
        </w:rPr>
        <w:t>divida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Ativa da União;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pagamento não p</w:t>
      </w:r>
      <w:r>
        <w:rPr>
          <w:rFonts w:ascii="Times New Roman" w:eastAsia="Times New Roman" w:hAnsi="Times New Roman" w:cs="Times New Roman"/>
          <w:sz w:val="24"/>
        </w:rPr>
        <w:t>oderá ser superior ao prazo de 30 (trinta) dia, contados a partir da data final do período de adimplemento da respectiva parcela.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C5A" w:rsidRDefault="00BF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 – DA DOTAÇÃO ORÇAMENTÁRIA:</w:t>
      </w:r>
      <w:r>
        <w:rPr>
          <w:rFonts w:ascii="Times New Roman" w:eastAsia="Times New Roman" w:hAnsi="Times New Roman" w:cs="Times New Roman"/>
          <w:sz w:val="24"/>
        </w:rPr>
        <w:t xml:space="preserve"> Os recursos correrão a conta do Orçamento do Tesouro Municipal através do Programa de Trabalho,</w:t>
      </w:r>
      <w:r>
        <w:rPr>
          <w:rFonts w:ascii="Times New Roman" w:eastAsia="Times New Roman" w:hAnsi="Times New Roman" w:cs="Times New Roman"/>
          <w:sz w:val="24"/>
        </w:rPr>
        <w:t xml:space="preserve"> Elemento de Despesas e Fonte de Recursos de cada secretária e consta na proposta encaminhada da LEI ORÇAMENTÁRIA ANUAL - LOA e tem compatibilidade com o PLANO PLURIANUAL – para o exercício de 2021 da Prefeitura Municipal de Itaboraí.</w:t>
      </w: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C3C5A" w:rsidRDefault="00CC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C3C5A" w:rsidRDefault="00CC3C5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C5A" w:rsidRDefault="00CC3C5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C5A" w:rsidRDefault="00CC3C5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C5A" w:rsidRDefault="00CC3C5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CC3C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D9" w:rsidRDefault="007B43D9" w:rsidP="007B43D9">
      <w:pPr>
        <w:spacing w:after="0" w:line="240" w:lineRule="auto"/>
      </w:pPr>
      <w:r>
        <w:separator/>
      </w:r>
    </w:p>
  </w:endnote>
  <w:endnote w:type="continuationSeparator" w:id="0">
    <w:p w:rsidR="007B43D9" w:rsidRDefault="007B43D9" w:rsidP="007B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Liberation Mono"/>
    <w:panose1 w:val="00000000000000000000"/>
    <w:charset w:val="4D"/>
    <w:family w:val="auto"/>
    <w:notTrueType/>
    <w:pitch w:val="variable"/>
    <w:sig w:usb0="00000003" w:usb1="00000003" w:usb2="00000000" w:usb3="00000000" w:csb0="00000197" w:csb1="00000000"/>
  </w:font>
  <w:font w:name="Montserrat ExtraBold">
    <w:altName w:val="Liberation Mono"/>
    <w:panose1 w:val="00000000000000000000"/>
    <w:charset w:val="4D"/>
    <w:family w:val="auto"/>
    <w:notTrueType/>
    <w:pitch w:val="variable"/>
    <w:sig w:usb0="00000003" w:usb1="00000003" w:usb2="00000000" w:usb3="00000000" w:csb0="00000197" w:csb1="00000000"/>
  </w:font>
  <w:font w:name="Montserrat">
    <w:altName w:val="Liberation Mono"/>
    <w:panose1 w:val="00000000000000000000"/>
    <w:charset w:val="4D"/>
    <w:family w:val="auto"/>
    <w:notTrueType/>
    <w:pitch w:val="variable"/>
    <w:sig w:usb0="00000003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D9" w:rsidRDefault="007B43D9" w:rsidP="007B43D9">
      <w:pPr>
        <w:spacing w:after="0" w:line="240" w:lineRule="auto"/>
      </w:pPr>
      <w:r>
        <w:separator/>
      </w:r>
    </w:p>
  </w:footnote>
  <w:footnote w:type="continuationSeparator" w:id="0">
    <w:p w:rsidR="007B43D9" w:rsidRDefault="007B43D9" w:rsidP="007B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D9" w:rsidRDefault="00FF37F4" w:rsidP="007B43D9">
    <w:pPr>
      <w:pStyle w:val="Cabealho"/>
      <w:jc w:val="center"/>
      <w:rPr>
        <w:rFonts w:ascii="Montserrat Medium" w:hAnsi="Montserrat Medium"/>
        <w:color w:val="1A3079"/>
      </w:rPr>
    </w:pPr>
    <w:r>
      <w:rPr>
        <w:rFonts w:ascii="Montserrat Medium" w:hAnsi="Montserrat Medium"/>
        <w:noProof/>
        <w:color w:val="1A3079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64770</wp:posOffset>
              </wp:positionV>
              <wp:extent cx="1511935" cy="752475"/>
              <wp:effectExtent l="0" t="0" r="12065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752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7F4" w:rsidRDefault="00FF37F4" w:rsidP="00FF37F4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PMI/RJ</w:t>
                          </w:r>
                        </w:p>
                        <w:p w:rsidR="00FF37F4" w:rsidRDefault="00FF37F4" w:rsidP="00FF37F4">
                          <w:proofErr w:type="gramStart"/>
                          <w:r>
                            <w:rPr>
                              <w:rStyle w:val="Fontepargpadro10"/>
                              <w:sz w:val="16"/>
                              <w:szCs w:val="16"/>
                            </w:rPr>
                            <w:t>Processo  Nº</w:t>
                          </w:r>
                          <w:proofErr w:type="gramEnd"/>
                          <w:r>
                            <w:rPr>
                              <w:rStyle w:val="Fontepargpadro10"/>
                              <w:sz w:val="16"/>
                              <w:szCs w:val="16"/>
                            </w:rPr>
                            <w:t>1732/2021</w:t>
                          </w:r>
                        </w:p>
                        <w:p w:rsidR="00FF37F4" w:rsidRDefault="00FF37F4" w:rsidP="00FF37F4">
                          <w:r>
                            <w:rPr>
                              <w:rStyle w:val="Fontepargpadro10"/>
                              <w:sz w:val="16"/>
                              <w:szCs w:val="16"/>
                            </w:rPr>
                            <w:t xml:space="preserve">Rubrica: ________ Fls. </w:t>
                          </w:r>
                          <w:r>
                            <w:rPr>
                              <w:rStyle w:val="Fontepargpadro10"/>
                              <w:rFonts w:ascii="Calibri" w:hAnsi="Calibri" w:cs="Calibri"/>
                              <w:sz w:val="16"/>
                              <w:szCs w:val="16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100965" tIns="55245" rIns="100965" bIns="552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67.95pt;margin-top:5.1pt;width:119.05pt;height:59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" strokeweight=".05pt">
              <v:fill opacity="0"/>
              <v:textbox inset="7.95pt,4.35pt,7.95pt,4.35pt">
                <w:txbxContent>
                  <w:p w:rsidR="00FF37F4" w:rsidRDefault="00FF37F4" w:rsidP="00FF37F4">
                    <w:r>
                      <w:rPr>
                        <w:b/>
                        <w:bCs/>
                        <w:sz w:val="16"/>
                        <w:szCs w:val="16"/>
                      </w:rPr>
                      <w:t>PMI/RJ</w:t>
                    </w:r>
                  </w:p>
                  <w:p w:rsidR="00FF37F4" w:rsidRDefault="00FF37F4" w:rsidP="00FF37F4">
                    <w:proofErr w:type="gramStart"/>
                    <w:r>
                      <w:rPr>
                        <w:rStyle w:val="Fontepargpadro10"/>
                        <w:sz w:val="16"/>
                        <w:szCs w:val="16"/>
                      </w:rPr>
                      <w:t>Processo  Nº</w:t>
                    </w:r>
                    <w:proofErr w:type="gramEnd"/>
                    <w:r>
                      <w:rPr>
                        <w:rStyle w:val="Fontepargpadro10"/>
                        <w:sz w:val="16"/>
                        <w:szCs w:val="16"/>
                      </w:rPr>
                      <w:t>1732/2021</w:t>
                    </w:r>
                  </w:p>
                  <w:p w:rsidR="00FF37F4" w:rsidRDefault="00FF37F4" w:rsidP="00FF37F4">
                    <w:r>
                      <w:rPr>
                        <w:rStyle w:val="Fontepargpadro10"/>
                        <w:sz w:val="16"/>
                        <w:szCs w:val="16"/>
                      </w:rPr>
                      <w:t xml:space="preserve">Rubrica: ________ Fls. </w:t>
                    </w:r>
                    <w:r>
                      <w:rPr>
                        <w:rStyle w:val="Fontepargpadro10"/>
                        <w:rFonts w:ascii="Calibri" w:hAnsi="Calibri" w:cs="Calibri"/>
                        <w:sz w:val="16"/>
                        <w:szCs w:val="16"/>
                      </w:rPr>
                      <w:t>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43D9">
      <w:rPr>
        <w:rFonts w:ascii="Montserrat Medium" w:hAnsi="Montserrat Medium"/>
        <w:noProof/>
        <w:color w:val="1A3079"/>
      </w:rPr>
      <w:drawing>
        <wp:inline distT="0" distB="0" distL="0" distR="0" wp14:anchorId="1CBD8318" wp14:editId="2D5AEAEA">
          <wp:extent cx="930165" cy="930165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59" cy="93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3D9" w:rsidRDefault="007B43D9" w:rsidP="007B43D9">
    <w:pPr>
      <w:pStyle w:val="Cabealho"/>
      <w:jc w:val="center"/>
      <w:rPr>
        <w:rFonts w:ascii="Montserrat Medium" w:hAnsi="Montserrat Medium"/>
        <w:color w:val="1A3079"/>
      </w:rPr>
    </w:pPr>
    <w:r>
      <w:rPr>
        <w:rFonts w:ascii="Montserrat Medium" w:hAnsi="Montserrat Medium"/>
        <w:color w:val="1A3079"/>
      </w:rPr>
      <w:t>ESTADO DO RIO DE JANEIRO</w:t>
    </w:r>
  </w:p>
  <w:p w:rsidR="007B43D9" w:rsidRDefault="007B43D9" w:rsidP="007B43D9">
    <w:pPr>
      <w:pStyle w:val="Cabealho"/>
      <w:spacing w:line="360" w:lineRule="auto"/>
      <w:jc w:val="center"/>
      <w:rPr>
        <w:rFonts w:ascii="Montserrat ExtraBold" w:hAnsi="Montserrat ExtraBold"/>
        <w:b/>
        <w:bCs/>
        <w:color w:val="1A3079"/>
      </w:rPr>
    </w:pPr>
    <w:r w:rsidRPr="0088615A">
      <w:rPr>
        <w:rFonts w:ascii="Montserrat ExtraBold" w:hAnsi="Montserrat ExtraBold"/>
        <w:b/>
        <w:bCs/>
        <w:color w:val="1A3079"/>
      </w:rPr>
      <w:t>Prefeitura Municipal de Itaboraí</w:t>
    </w:r>
  </w:p>
  <w:p w:rsidR="007B43D9" w:rsidRPr="001E1976" w:rsidRDefault="007B43D9" w:rsidP="007B43D9">
    <w:pPr>
      <w:pStyle w:val="Cabealho"/>
      <w:jc w:val="center"/>
      <w:rPr>
        <w:rFonts w:ascii="Montserrat" w:hAnsi="Montserrat"/>
        <w:color w:val="1A3079"/>
        <w:sz w:val="28"/>
        <w:szCs w:val="28"/>
      </w:rPr>
    </w:pPr>
    <w:r w:rsidRPr="00890B94">
      <w:rPr>
        <w:rFonts w:ascii="Montserrat" w:hAnsi="Montserrat"/>
        <w:color w:val="1A3079"/>
        <w:sz w:val="28"/>
        <w:szCs w:val="28"/>
      </w:rPr>
      <w:t>SECRETARIA MUNICIPAL DE ADMINISTRAÇÃO</w:t>
    </w:r>
  </w:p>
  <w:p w:rsidR="007B43D9" w:rsidRDefault="007B43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A"/>
    <w:rsid w:val="007B43D9"/>
    <w:rsid w:val="00BF311A"/>
    <w:rsid w:val="00BF3CD1"/>
    <w:rsid w:val="00CC3C5A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614BE0-0557-4D7B-A79E-453F544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3D9"/>
  </w:style>
  <w:style w:type="paragraph" w:styleId="Rodap">
    <w:name w:val="footer"/>
    <w:basedOn w:val="Normal"/>
    <w:link w:val="RodapChar"/>
    <w:uiPriority w:val="99"/>
    <w:unhideWhenUsed/>
    <w:rsid w:val="007B4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3D9"/>
  </w:style>
  <w:style w:type="character" w:customStyle="1" w:styleId="Fontepargpadro10">
    <w:name w:val="Fonte parág. padrão10"/>
    <w:rsid w:val="00FF37F4"/>
  </w:style>
  <w:style w:type="paragraph" w:styleId="Textodebalo">
    <w:name w:val="Balloon Text"/>
    <w:basedOn w:val="Normal"/>
    <w:link w:val="TextodebaloChar"/>
    <w:uiPriority w:val="99"/>
    <w:semiHidden/>
    <w:unhideWhenUsed/>
    <w:rsid w:val="00FF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4210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Usuario</cp:lastModifiedBy>
  <cp:revision>3</cp:revision>
  <cp:lastPrinted>2021-12-15T13:54:00Z</cp:lastPrinted>
  <dcterms:created xsi:type="dcterms:W3CDTF">2021-12-15T13:53:00Z</dcterms:created>
  <dcterms:modified xsi:type="dcterms:W3CDTF">2021-12-15T17:20:00Z</dcterms:modified>
</cp:coreProperties>
</file>