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FFFFFF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FFFFFF" w:val="clear"/>
        </w:rPr>
      </w:pPr>
      <w:r>
        <w:object w:dxaOrig="1349" w:dyaOrig="959">
          <v:rect xmlns:o="urn:schemas-microsoft-com:office:office" xmlns:v="urn:schemas-microsoft-com:vml" id="rectole0000000000" style="width:67.450000pt;height:4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FFFFFF" w:val="clear"/>
        </w:rPr>
        <w:t xml:space="preserve">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FFFFFF" w:val="clear"/>
        </w:rPr>
        <w:t xml:space="preserve">            ANEXO VII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DECLARAÇÃO DE ENQUADRAMENTO COMO MICROEMPREENDEDOR INDIVIDUAL, MICROEMPRESA E EMPRESA DE PEQUENO PORTE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(    ) MICROEMPREENDEDOR INDIVIDUAL, conforme Art. 18A da Lei Complementar Federal N.º 123, de 14/12/2006 e Lei Complementar Federal nº 128, de 19/12/2008;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(  ) MICROEMPRESA, conforme Inciso I do artigo 3º da Lei Complementar nº 123, de 14/12/2006;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(     ) EMPRESA DE PEQUENO PORTE, conforme Inciso II do artigo 3º da Lei  Complementar nº 123, de 14/12/2006.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(data)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. . . . . . . . . . . . . . . . . . . . . . . . . . . . . . . . . . . . . . . . . . . . . . . . . . . . . . . . . 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(representante legal)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