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9"/>
        <w:spacing w:after="0" w:before="0"/>
        <w:ind w:hanging="0" w:left="0" w:right="0"/>
        <w:contextualSpacing w:val="false"/>
        <w:jc w:val="center"/>
      </w:pPr>
      <w:bookmarkStart w:id="0" w:name="_Toc183324521"/>
      <w:bookmarkEnd w:id="0"/>
      <w:r>
        <w:rPr>
          <w:rFonts w:cs="Arial"/>
          <w:b/>
          <w:sz w:val="28"/>
          <w:szCs w:val="28"/>
          <w:u w:val="single"/>
        </w:rPr>
        <w:t>PROJETO BÁSICO</w:t>
      </w:r>
    </w:p>
    <w:p>
      <w:pPr>
        <w:pStyle w:val="style39"/>
        <w:spacing w:after="0" w:before="0"/>
        <w:ind w:hanging="0" w:left="0" w:right="0"/>
        <w:contextualSpacing w:val="false"/>
        <w:jc w:val="center"/>
      </w:pPr>
      <w:r>
        <w:rPr>
          <w:b/>
          <w:bCs/>
          <w:sz w:val="28"/>
          <w:szCs w:val="28"/>
        </w:rPr>
        <w:t>ANEXO X</w:t>
      </w:r>
    </w:p>
    <w:p>
      <w:pPr>
        <w:pStyle w:val="style1"/>
        <w:numPr>
          <w:ilvl w:val="0"/>
          <w:numId w:val="2"/>
        </w:numPr>
        <w:spacing w:after="0" w:before="0" w:line="360" w:lineRule="auto"/>
        <w:ind w:hanging="360" w:left="0" w:right="0"/>
        <w:contextualSpacing w:val="false"/>
        <w:jc w:val="both"/>
      </w:pPr>
      <w:bookmarkStart w:id="1" w:name="_Toc273265003"/>
      <w:bookmarkStart w:id="2" w:name="_Toc273265227"/>
      <w:bookmarkStart w:id="3" w:name="_Toc273265365"/>
      <w:bookmarkStart w:id="4" w:name="_Toc273277744"/>
      <w:bookmarkEnd w:id="1"/>
      <w:bookmarkEnd w:id="2"/>
      <w:bookmarkEnd w:id="3"/>
      <w:bookmarkEnd w:id="4"/>
      <w:r>
        <w:rPr>
          <w:rFonts w:ascii="Arial" w:cs="Arial" w:hAnsi="Arial"/>
          <w:sz w:val="24"/>
          <w:szCs w:val="24"/>
        </w:rPr>
        <w:t>PREÂMBULO</w:t>
      </w:r>
    </w:p>
    <w:p>
      <w:pPr>
        <w:pStyle w:val="style39"/>
        <w:keepNext/>
        <w:spacing w:after="0" w:before="0"/>
        <w:ind w:firstLine="708" w:left="0" w:right="0"/>
        <w:contextualSpacing w:val="false"/>
      </w:pPr>
      <w:r>
        <w:rPr/>
      </w:r>
    </w:p>
    <w:p>
      <w:pPr>
        <w:pStyle w:val="style39"/>
        <w:keepNext/>
        <w:spacing w:after="0" w:before="0"/>
        <w:ind w:firstLine="708" w:left="0" w:right="0"/>
        <w:contextualSpacing w:val="false"/>
      </w:pPr>
      <w:r>
        <w:rPr>
          <w:rFonts w:cs="Arial"/>
          <w:color w:val="000000"/>
          <w:sz w:val="24"/>
          <w:szCs w:val="24"/>
        </w:rPr>
        <w:t xml:space="preserve">Em face do que estatui a alínea “e”, inciso IX, do artigo 6º da Lei nº 8.666, de 21 de junho de 1993 e, de modo a disponibilizar os subsídios necessários a montagem do plano de licitação e gestão do serviço definido no item </w:t>
      </w:r>
      <w:r>
        <w:rPr/>
        <w:fldChar w:fldCharType="begin"/>
      </w:r>
      <w:r>
        <w:instrText> REF _Ref285306663 \r \h </w:instrText>
      </w:r>
      <w:r>
        <w:fldChar w:fldCharType="separate"/>
      </w:r>
      <w:r>
        <w:t>2</w:t>
      </w:r>
      <w:r>
        <w:fldChar w:fldCharType="end"/>
      </w:r>
      <w:r>
        <w:rPr>
          <w:rFonts w:cs="Arial"/>
          <w:color w:val="000000"/>
          <w:sz w:val="24"/>
          <w:szCs w:val="24"/>
        </w:rPr>
        <w:t>, deste documento, este órgão elaborou o presente Projeto Básico/Plano de Trabalho, nos termos do que preconiza a referida Lei e demais normas regentes.</w:t>
      </w:r>
    </w:p>
    <w:p>
      <w:pPr>
        <w:pStyle w:val="style39"/>
        <w:keepNext/>
        <w:spacing w:after="0" w:before="0"/>
        <w:ind w:firstLine="708" w:left="0" w:right="0"/>
        <w:contextualSpacing w:val="false"/>
      </w:pPr>
      <w:r>
        <w:rPr/>
      </w:r>
    </w:p>
    <w:p>
      <w:pPr>
        <w:pStyle w:val="style1"/>
        <w:numPr>
          <w:ilvl w:val="0"/>
          <w:numId w:val="2"/>
        </w:numPr>
        <w:spacing w:after="0" w:before="0" w:line="360" w:lineRule="auto"/>
        <w:ind w:hanging="360" w:left="0" w:right="0"/>
        <w:contextualSpacing w:val="false"/>
        <w:jc w:val="both"/>
      </w:pPr>
      <w:bookmarkStart w:id="5" w:name="_Toc273265004"/>
      <w:bookmarkStart w:id="6" w:name="_Toc273265228"/>
      <w:bookmarkStart w:id="7" w:name="_Toc273265366"/>
      <w:bookmarkStart w:id="8" w:name="_Toc273277745"/>
      <w:bookmarkStart w:id="9" w:name="_Ref285306663"/>
      <w:bookmarkStart w:id="10" w:name="_Toc183324523"/>
      <w:bookmarkStart w:id="11" w:name="_Toc183345811"/>
      <w:bookmarkStart w:id="12" w:name="_Toc79806186"/>
      <w:bookmarkEnd w:id="5"/>
      <w:bookmarkEnd w:id="6"/>
      <w:bookmarkEnd w:id="7"/>
      <w:bookmarkEnd w:id="8"/>
      <w:bookmarkEnd w:id="9"/>
      <w:bookmarkEnd w:id="10"/>
      <w:bookmarkEnd w:id="11"/>
      <w:bookmarkEnd w:id="12"/>
      <w:r>
        <w:rPr>
          <w:rFonts w:ascii="Arial" w:cs="Arial" w:hAnsi="Arial"/>
          <w:color w:val="000000"/>
          <w:sz w:val="24"/>
          <w:szCs w:val="24"/>
        </w:rPr>
        <w:t>OBJETO</w:t>
      </w:r>
    </w:p>
    <w:p>
      <w:pPr>
        <w:pStyle w:val="style0"/>
      </w:pPr>
      <w:r>
        <w:rPr/>
      </w:r>
    </w:p>
    <w:p>
      <w:pPr>
        <w:pStyle w:val="style0"/>
        <w:spacing w:line="360" w:lineRule="auto"/>
        <w:jc w:val="both"/>
      </w:pPr>
      <w:r>
        <w:rPr>
          <w:rFonts w:ascii="Arial" w:cs="Arial" w:hAnsi="Arial"/>
          <w:color w:val="000000"/>
        </w:rPr>
        <w:tab/>
        <w:t xml:space="preserve">Este Projeto tem por objeto especificar, para fins de execução indireta, </w:t>
      </w:r>
      <w:bookmarkStart w:id="13" w:name="Texto117"/>
      <w:r>
        <w:rPr>
          <w:rFonts w:ascii="Arial" w:cs="Arial" w:hAnsi="Arial"/>
          <w:color w:val="000000"/>
        </w:rPr>
        <w:t xml:space="preserve">a </w:t>
      </w:r>
      <w:bookmarkEnd w:id="13"/>
      <w:r>
        <w:rPr>
          <w:rFonts w:ascii="Arial" w:cs="Arial" w:hAnsi="Arial"/>
          <w:b/>
        </w:rPr>
        <w:t>REFORMA DA UNIDADE BÁSICA DE SAÚDE PREFEITO MILTON RODRIGUES, LOCALIZADA NA AVENIDA AVENID</w:t>
      </w:r>
      <w:bookmarkStart w:id="14" w:name="_GoBack"/>
      <w:bookmarkEnd w:id="14"/>
      <w:r>
        <w:rPr>
          <w:rFonts w:ascii="Arial" w:cs="Arial" w:hAnsi="Arial"/>
          <w:b/>
        </w:rPr>
        <w:t xml:space="preserve">A VEREADOR HERMÍNIO, S/N – FUNDOS - CENTRO – ITABORAÍ/RJ, </w:t>
      </w:r>
      <w:r>
        <w:rPr>
          <w:rFonts w:ascii="Arial" w:cs="Arial" w:hAnsi="Arial"/>
        </w:rPr>
        <w:t>com</w:t>
      </w:r>
      <w:r>
        <w:rPr>
          <w:rFonts w:ascii="Arial" w:cs="Arial" w:hAnsi="Arial"/>
          <w:color w:val="000000"/>
        </w:rPr>
        <w:t xml:space="preserve"> fornecimento de mão de obra, materiais e equipamentos.</w:t>
      </w:r>
    </w:p>
    <w:p>
      <w:pPr>
        <w:pStyle w:val="style0"/>
        <w:spacing w:line="360" w:lineRule="auto"/>
        <w:jc w:val="both"/>
      </w:pPr>
      <w:r>
        <w:rPr/>
      </w:r>
    </w:p>
    <w:p>
      <w:pPr>
        <w:pStyle w:val="style1"/>
        <w:numPr>
          <w:ilvl w:val="0"/>
          <w:numId w:val="2"/>
        </w:numPr>
        <w:spacing w:after="0" w:before="0" w:line="360" w:lineRule="auto"/>
        <w:ind w:hanging="360" w:left="0" w:right="0"/>
        <w:contextualSpacing w:val="false"/>
        <w:jc w:val="both"/>
      </w:pPr>
      <w:bookmarkStart w:id="15" w:name="_Toc79806187"/>
      <w:bookmarkStart w:id="16" w:name="_Toc183324524"/>
      <w:bookmarkStart w:id="17" w:name="_Toc183345812"/>
      <w:bookmarkStart w:id="18" w:name="_Toc273265005"/>
      <w:bookmarkStart w:id="19" w:name="_Toc273265229"/>
      <w:bookmarkStart w:id="20" w:name="_Toc273265367"/>
      <w:bookmarkStart w:id="21" w:name="_Toc273277746"/>
      <w:bookmarkEnd w:id="15"/>
      <w:bookmarkEnd w:id="16"/>
      <w:bookmarkEnd w:id="17"/>
      <w:bookmarkEnd w:id="18"/>
      <w:bookmarkEnd w:id="19"/>
      <w:bookmarkEnd w:id="20"/>
      <w:bookmarkEnd w:id="21"/>
      <w:r>
        <w:rPr>
          <w:rFonts w:ascii="Arial" w:cs="Arial" w:hAnsi="Arial"/>
          <w:color w:val="000000"/>
          <w:sz w:val="24"/>
          <w:szCs w:val="24"/>
        </w:rPr>
        <w:t>JUSTIFICATIVA DO PROJETO</w:t>
      </w:r>
    </w:p>
    <w:p>
      <w:pPr>
        <w:pStyle w:val="style39"/>
        <w:spacing w:after="0" w:before="0"/>
        <w:ind w:hanging="0" w:left="0" w:right="0"/>
        <w:contextualSpacing w:val="false"/>
      </w:pPr>
      <w:r>
        <w:rPr/>
      </w:r>
    </w:p>
    <w:p>
      <w:pPr>
        <w:pStyle w:val="style0"/>
        <w:shd w:fill="FFFFFF" w:val="clear"/>
        <w:spacing w:line="360" w:lineRule="auto"/>
        <w:ind w:firstLine="708" w:left="0" w:right="0"/>
        <w:jc w:val="both"/>
        <w:textAlignment w:val="top"/>
      </w:pPr>
      <w:r>
        <w:rPr>
          <w:rFonts w:ascii="Arial" w:cs="Arial" w:hAnsi="Arial"/>
        </w:rPr>
        <w:t>Considerando que a Unidade Básica de Saúde da Família do endereço acima citado foi objeto de reforma entre os anos de 2016 a 2018, porém não atendendo as normas vigentes da Portaria 340/2011, necessitando assim de adequação e redimensionamento dos ambientes, para um melhor atendimento aos usuários. Para tal, realizou-se visita in loco da equipe da Coordenação da Secretaria de Saúde e do Setor de Núcleo de Projetos da Secretaira Municipal de Obras a fim de fazer os levantamentos das necessidades atuais.</w:t>
      </w:r>
    </w:p>
    <w:p>
      <w:pPr>
        <w:pStyle w:val="style39"/>
        <w:spacing w:after="0" w:before="0"/>
        <w:ind w:hanging="0" w:left="0" w:right="0"/>
        <w:contextualSpacing w:val="false"/>
      </w:pPr>
      <w:r>
        <w:rPr>
          <w:rFonts w:cs="Arial"/>
          <w:sz w:val="24"/>
          <w:szCs w:val="24"/>
        </w:rPr>
        <w:tab/>
        <w:t xml:space="preserve">Após os estudos e compatibilizações das necessidades apontadas, o resultado do Projeto Básico de Arquitetura (PBA), deverá atender ao preconizado pelas normas vigentes e conter ambientes mínimos ao atendimento de qualidade, prezando pela segurança e conforto do paciente.     </w:t>
      </w:r>
    </w:p>
    <w:p>
      <w:pPr>
        <w:pStyle w:val="style39"/>
        <w:spacing w:after="0" w:before="0"/>
        <w:ind w:hanging="0" w:left="0" w:right="0"/>
        <w:contextualSpacing w:val="false"/>
      </w:pPr>
      <w:r>
        <w:rPr/>
      </w:r>
    </w:p>
    <w:p>
      <w:pPr>
        <w:pStyle w:val="style0"/>
        <w:numPr>
          <w:ilvl w:val="0"/>
          <w:numId w:val="2"/>
        </w:numPr>
        <w:tabs/>
        <w:spacing w:line="360" w:lineRule="auto"/>
        <w:ind w:hanging="360" w:left="0" w:right="0"/>
        <w:jc w:val="both"/>
      </w:pPr>
      <w:bookmarkStart w:id="22" w:name="_Toc79806188"/>
      <w:bookmarkStart w:id="23" w:name="_Toc183324525"/>
      <w:bookmarkStart w:id="24" w:name="_Toc183345813"/>
      <w:bookmarkStart w:id="25" w:name="_Toc273265006"/>
      <w:bookmarkStart w:id="26" w:name="_Toc273265230"/>
      <w:bookmarkStart w:id="27" w:name="_Toc273265368"/>
      <w:bookmarkStart w:id="28" w:name="_Toc273277747"/>
      <w:bookmarkEnd w:id="22"/>
      <w:bookmarkEnd w:id="23"/>
      <w:bookmarkEnd w:id="24"/>
      <w:bookmarkEnd w:id="25"/>
      <w:bookmarkEnd w:id="26"/>
      <w:bookmarkEnd w:id="27"/>
      <w:bookmarkEnd w:id="28"/>
      <w:r>
        <w:rPr>
          <w:rFonts w:ascii="Arial" w:cs="Arial" w:hAnsi="Arial"/>
          <w:b/>
          <w:color w:val="000000"/>
        </w:rPr>
        <w:t>ESPECIFICAÇÕES DOS SERVIÇOS</w:t>
      </w:r>
    </w:p>
    <w:p>
      <w:pPr>
        <w:pStyle w:val="style0"/>
        <w:spacing w:line="360" w:lineRule="auto"/>
        <w:ind w:firstLine="708" w:left="0" w:right="0"/>
        <w:jc w:val="both"/>
      </w:pPr>
      <w:r>
        <w:rPr/>
      </w:r>
    </w:p>
    <w:p>
      <w:pPr>
        <w:pStyle w:val="style40"/>
        <w:tabs>
          <w:tab w:leader="none" w:pos="1134" w:val="center"/>
          <w:tab w:leader="none" w:pos="4252" w:val="center"/>
          <w:tab w:leader="none" w:pos="8504" w:val="right"/>
        </w:tabs>
        <w:spacing w:line="360" w:lineRule="auto"/>
        <w:ind w:firstLine="567" w:left="0" w:right="0"/>
        <w:jc w:val="both"/>
      </w:pPr>
      <w:r>
        <w:rPr>
          <w:rFonts w:ascii="Arial" w:cs="Arial" w:hAnsi="Arial"/>
        </w:rPr>
        <w:t xml:space="preserve">Os serviços a serem realizados, bem como os equipamentos e materiais a empregados, serão os constantes no Orçamento sintético, Analítico, Memória de Cálculo, B.D.I, Cronograma Físico - Financeiro e Plantas, conforme o Memorial Descritivo da Obra de Reforma da </w:t>
      </w:r>
      <w:r>
        <w:rPr>
          <w:rFonts w:ascii="Arial" w:cs="Arial" w:hAnsi="Arial"/>
          <w:b/>
        </w:rPr>
        <w:t>UNIDADE BÁSICA DE SAÚDE PREFEITO MILTON RODRIGUES.</w:t>
      </w:r>
    </w:p>
    <w:p>
      <w:pPr>
        <w:pStyle w:val="style40"/>
        <w:tabs>
          <w:tab w:leader="none" w:pos="1134" w:val="center"/>
          <w:tab w:leader="none" w:pos="4252" w:val="center"/>
          <w:tab w:leader="none" w:pos="8504" w:val="right"/>
        </w:tabs>
        <w:spacing w:line="360" w:lineRule="auto"/>
        <w:ind w:firstLine="349" w:left="0" w:right="0"/>
        <w:jc w:val="both"/>
      </w:pPr>
      <w:r>
        <w:rPr/>
      </w:r>
    </w:p>
    <w:p>
      <w:pPr>
        <w:pStyle w:val="style40"/>
        <w:tabs>
          <w:tab w:leader="none" w:pos="1134" w:val="center"/>
          <w:tab w:leader="none" w:pos="4252" w:val="center"/>
          <w:tab w:leader="none" w:pos="8504" w:val="right"/>
        </w:tabs>
        <w:spacing w:line="360" w:lineRule="auto"/>
        <w:ind w:firstLine="567" w:left="0" w:right="0"/>
        <w:jc w:val="both"/>
      </w:pPr>
      <w:r>
        <w:rPr>
          <w:rFonts w:ascii="Arial" w:cs="Arial" w:hAnsi="Arial"/>
        </w:rPr>
        <w:t>O presente serviço deverá ser realizado mediante as etapas descritas no Cronograma Físico-Financeiro Geral da Obra e os quantitativos apurados deverão compor os serviços realmente realizados e constarão da planilha de medição.</w:t>
      </w:r>
    </w:p>
    <w:p>
      <w:pPr>
        <w:pStyle w:val="style0"/>
        <w:spacing w:line="360" w:lineRule="auto"/>
        <w:ind w:firstLine="708" w:left="0" w:right="0"/>
        <w:jc w:val="both"/>
      </w:pPr>
      <w:r>
        <w:rPr/>
      </w:r>
    </w:p>
    <w:p>
      <w:pPr>
        <w:pStyle w:val="style39"/>
        <w:spacing w:after="0" w:before="0"/>
        <w:ind w:firstLine="708" w:left="0" w:right="0"/>
        <w:contextualSpacing w:val="false"/>
      </w:pPr>
      <w:r>
        <w:rPr>
          <w:rFonts w:cs="Arial"/>
          <w:sz w:val="24"/>
          <w:szCs w:val="24"/>
        </w:rPr>
        <w:t>A execução de todos os serviços obedecerá rigorosamente às indicações constantes no projeto Projeto Básico de Arquitetura (PBA), além das prescrições contidas neste Projeto Básico e demais documentos integrantes do processo.</w:t>
      </w:r>
    </w:p>
    <w:p>
      <w:pPr>
        <w:pStyle w:val="style0"/>
        <w:spacing w:line="360" w:lineRule="auto"/>
        <w:ind w:firstLine="708" w:left="0" w:right="0"/>
        <w:jc w:val="both"/>
      </w:pPr>
      <w:r>
        <w:rPr/>
      </w:r>
    </w:p>
    <w:p>
      <w:pPr>
        <w:pStyle w:val="style39"/>
        <w:spacing w:after="0" w:before="0"/>
        <w:ind w:firstLine="708" w:left="0" w:right="0"/>
        <w:contextualSpacing w:val="false"/>
      </w:pPr>
      <w:r>
        <w:rPr>
          <w:rFonts w:cs="Arial"/>
          <w:sz w:val="24"/>
          <w:szCs w:val="24"/>
        </w:rPr>
        <w:t>Na execução de todos os serviços, a Contratada deverá seguir as Normas Técnicas da Associação Brasileira de Normas Técnicas – ABNT e as normas citadas no decorrer destas Especificações.</w:t>
      </w:r>
    </w:p>
    <w:p>
      <w:pPr>
        <w:pStyle w:val="style0"/>
        <w:spacing w:line="360" w:lineRule="auto"/>
        <w:ind w:firstLine="708" w:left="0" w:right="0"/>
        <w:jc w:val="both"/>
      </w:pPr>
      <w:r>
        <w:rPr/>
      </w:r>
    </w:p>
    <w:p>
      <w:pPr>
        <w:pStyle w:val="style0"/>
        <w:spacing w:line="360" w:lineRule="auto"/>
        <w:jc w:val="both"/>
      </w:pPr>
      <w:r>
        <w:rPr/>
      </w:r>
    </w:p>
    <w:p>
      <w:pPr>
        <w:pStyle w:val="style38"/>
        <w:numPr>
          <w:ilvl w:val="0"/>
          <w:numId w:val="2"/>
        </w:numPr>
        <w:tabs/>
        <w:spacing w:after="0" w:before="0" w:line="360" w:lineRule="auto"/>
        <w:ind w:hanging="360" w:left="0" w:right="0"/>
        <w:contextualSpacing w:val="false"/>
        <w:jc w:val="both"/>
      </w:pPr>
      <w:bookmarkStart w:id="29" w:name="_Toc79806195"/>
      <w:bookmarkStart w:id="30" w:name="_Toc183324526"/>
      <w:bookmarkStart w:id="31" w:name="_Toc183345814"/>
      <w:bookmarkStart w:id="32" w:name="_Toc273265007"/>
      <w:bookmarkStart w:id="33" w:name="_Toc273265231"/>
      <w:bookmarkStart w:id="34" w:name="_Toc273265369"/>
      <w:bookmarkStart w:id="35" w:name="_Toc273277748"/>
      <w:r>
        <w:rPr>
          <w:rFonts w:ascii="Arial" w:cs="Arial" w:eastAsia="Times New Roman" w:hAnsi="Arial"/>
          <w:b/>
          <w:bCs/>
          <w:color w:val="000000"/>
          <w:sz w:val="24"/>
          <w:szCs w:val="24"/>
          <w:lang w:eastAsia="pt-BR"/>
        </w:rPr>
        <w:t>DO REGIME DE EXECUÇÃO CONTRATUAL</w:t>
      </w:r>
      <w:bookmarkEnd w:id="29"/>
      <w:bookmarkEnd w:id="30"/>
      <w:bookmarkEnd w:id="31"/>
      <w:bookmarkEnd w:id="32"/>
      <w:bookmarkEnd w:id="33"/>
      <w:bookmarkEnd w:id="34"/>
      <w:bookmarkEnd w:id="35"/>
      <w:r>
        <w:rPr>
          <w:rFonts w:ascii="Arial" w:cs="Arial" w:hAnsi="Arial"/>
          <w:color w:val="000000"/>
          <w:sz w:val="24"/>
          <w:szCs w:val="24"/>
        </w:rPr>
        <w:tab/>
      </w:r>
    </w:p>
    <w:p>
      <w:pPr>
        <w:pStyle w:val="style38"/>
        <w:spacing w:after="0" w:before="0" w:line="360" w:lineRule="auto"/>
        <w:ind w:hanging="0" w:left="0" w:right="0"/>
        <w:contextualSpacing w:val="false"/>
        <w:jc w:val="both"/>
      </w:pPr>
      <w:r>
        <w:rPr/>
      </w:r>
    </w:p>
    <w:p>
      <w:pPr>
        <w:pStyle w:val="style38"/>
        <w:spacing w:after="0" w:before="0" w:line="360" w:lineRule="auto"/>
        <w:ind w:firstLine="708" w:left="0" w:right="0"/>
        <w:contextualSpacing w:val="false"/>
        <w:jc w:val="both"/>
      </w:pPr>
      <w:r>
        <w:rPr>
          <w:rFonts w:ascii="Arial" w:cs="Arial" w:hAnsi="Arial"/>
          <w:color w:val="000000"/>
          <w:sz w:val="24"/>
          <w:szCs w:val="24"/>
        </w:rPr>
        <w:t xml:space="preserve">De modo a atender ao que dispõe o art. 40, </w:t>
      </w:r>
      <w:r>
        <w:rPr>
          <w:rFonts w:ascii="Arial" w:cs="Arial" w:hAnsi="Arial"/>
          <w:i/>
          <w:color w:val="000000"/>
          <w:sz w:val="24"/>
          <w:szCs w:val="24"/>
        </w:rPr>
        <w:t>caput</w:t>
      </w:r>
      <w:r>
        <w:rPr>
          <w:rFonts w:ascii="Arial" w:cs="Arial" w:hAnsi="Arial"/>
          <w:color w:val="000000"/>
          <w:sz w:val="24"/>
          <w:szCs w:val="24"/>
        </w:rPr>
        <w:t>, combinado com a alínea “e”, inciso IX, art. 6º da Lei Nacional nº 8.666/93, fica estabelecido que o Contrato que decorrer deste Projeto Básico deverá observar o Regime de Execução de acordo com o Cronograma Físico-Financeiro.</w:t>
      </w:r>
    </w:p>
    <w:p>
      <w:pPr>
        <w:pStyle w:val="style38"/>
        <w:spacing w:after="0" w:before="0" w:line="360" w:lineRule="auto"/>
        <w:ind w:firstLine="708" w:left="0" w:right="0"/>
        <w:contextualSpacing w:val="false"/>
        <w:jc w:val="both"/>
      </w:pPr>
      <w:r>
        <w:rPr/>
      </w:r>
    </w:p>
    <w:p>
      <w:pPr>
        <w:pStyle w:val="style1"/>
        <w:numPr>
          <w:ilvl w:val="0"/>
          <w:numId w:val="2"/>
        </w:numPr>
        <w:spacing w:after="0" w:before="0" w:line="360" w:lineRule="auto"/>
        <w:ind w:hanging="360" w:left="0" w:right="0"/>
        <w:contextualSpacing w:val="false"/>
        <w:jc w:val="both"/>
      </w:pPr>
      <w:bookmarkStart w:id="36" w:name="_Toc79806196"/>
      <w:bookmarkStart w:id="37" w:name="_Toc183324527"/>
      <w:bookmarkStart w:id="38" w:name="_Toc183345815"/>
      <w:bookmarkStart w:id="39" w:name="_Toc273265008"/>
      <w:bookmarkStart w:id="40" w:name="_Toc273265232"/>
      <w:bookmarkStart w:id="41" w:name="_Toc273265370"/>
      <w:bookmarkStart w:id="42" w:name="_Toc273277749"/>
      <w:bookmarkEnd w:id="36"/>
      <w:bookmarkEnd w:id="37"/>
      <w:bookmarkEnd w:id="38"/>
      <w:bookmarkEnd w:id="39"/>
      <w:bookmarkEnd w:id="40"/>
      <w:bookmarkEnd w:id="41"/>
      <w:bookmarkEnd w:id="42"/>
      <w:r>
        <w:rPr>
          <w:rFonts w:ascii="Arial" w:cs="Arial" w:hAnsi="Arial"/>
          <w:color w:val="000000"/>
          <w:sz w:val="24"/>
          <w:szCs w:val="24"/>
        </w:rPr>
        <w:t>NORMAS DE FISCALIZAÇÃO DA EXECUÇÃO CONTRATUAL</w:t>
      </w:r>
    </w:p>
    <w:p>
      <w:pPr>
        <w:pStyle w:val="style39"/>
        <w:keepNext/>
        <w:spacing w:after="0" w:before="0"/>
        <w:ind w:hanging="0" w:left="0" w:right="0"/>
        <w:contextualSpacing w:val="false"/>
      </w:pPr>
      <w:r>
        <w:rPr>
          <w:rFonts w:cs="Arial"/>
          <w:color w:val="000000"/>
          <w:sz w:val="24"/>
          <w:szCs w:val="24"/>
        </w:rPr>
        <w:tab/>
      </w:r>
    </w:p>
    <w:p>
      <w:pPr>
        <w:pStyle w:val="style39"/>
        <w:keepNext/>
        <w:spacing w:after="0" w:before="0"/>
        <w:ind w:hanging="0" w:left="0" w:right="0"/>
        <w:contextualSpacing w:val="false"/>
      </w:pPr>
      <w:r>
        <w:rPr>
          <w:rFonts w:cs="Arial"/>
          <w:color w:val="000000"/>
          <w:sz w:val="24"/>
          <w:szCs w:val="24"/>
        </w:rPr>
        <w:tab/>
        <w:t xml:space="preserve">De modo a atender ao que dispõe a alínea “e”, inciso IX, art. 6º da Lei Nacional n.º 8.666/93, a fiscalização da execução do contrato que decorrer deste Projeto Básico deverá ser feita por </w:t>
      </w:r>
      <w:r>
        <w:rPr>
          <w:rFonts w:cs="Arial"/>
          <w:b/>
          <w:color w:val="000000"/>
          <w:sz w:val="24"/>
          <w:szCs w:val="24"/>
        </w:rPr>
        <w:t>pelo menos dois servidores</w:t>
      </w:r>
      <w:r>
        <w:rPr>
          <w:rFonts w:cs="Arial"/>
          <w:color w:val="000000"/>
          <w:sz w:val="24"/>
          <w:szCs w:val="24"/>
        </w:rPr>
        <w:t>, designado pelo</w:t>
      </w:r>
      <w:r>
        <w:rPr>
          <w:rFonts w:cs="Arial"/>
          <w:b/>
          <w:color w:val="000000"/>
          <w:sz w:val="24"/>
          <w:szCs w:val="24"/>
        </w:rPr>
        <w:t xml:space="preserve"> Presidente do Fundo Municipal de Saúde</w:t>
      </w:r>
      <w:r>
        <w:rPr>
          <w:rFonts w:cs="Arial"/>
          <w:color w:val="000000"/>
          <w:sz w:val="24"/>
          <w:szCs w:val="24"/>
        </w:rPr>
        <w:t>, ao qual competirá:</w:t>
      </w:r>
    </w:p>
    <w:p>
      <w:pPr>
        <w:pStyle w:val="style39"/>
        <w:keepNext/>
        <w:numPr>
          <w:ilvl w:val="0"/>
          <w:numId w:val="3"/>
        </w:numPr>
        <w:tabs/>
        <w:spacing w:after="0" w:before="0"/>
        <w:ind w:hanging="360" w:left="0" w:right="0"/>
        <w:contextualSpacing w:val="false"/>
      </w:pPr>
      <w:r>
        <w:rPr>
          <w:rFonts w:cs="Arial"/>
          <w:color w:val="000000"/>
          <w:sz w:val="24"/>
          <w:szCs w:val="24"/>
        </w:rPr>
        <w:t>Fazer cumprir as especificação e demais condições estabelecidas neste Projeto Básico, no edital e no contrato que vier a ser celebrado;</w:t>
      </w:r>
    </w:p>
    <w:p>
      <w:pPr>
        <w:pStyle w:val="style39"/>
        <w:keepNext/>
        <w:numPr>
          <w:ilvl w:val="0"/>
          <w:numId w:val="3"/>
        </w:numPr>
        <w:tabs/>
        <w:spacing w:after="0" w:before="0"/>
        <w:ind w:hanging="360" w:left="0" w:right="0"/>
        <w:contextualSpacing w:val="false"/>
      </w:pPr>
      <w:r>
        <w:rPr>
          <w:rFonts w:cs="Arial"/>
          <w:color w:val="000000"/>
          <w:sz w:val="24"/>
          <w:szCs w:val="24"/>
        </w:rPr>
        <w:t>Notificar a contratada acerca da prática de infrações que ensejem a aplicação das penas previstas nas sanções administrativas;</w:t>
      </w:r>
    </w:p>
    <w:p>
      <w:pPr>
        <w:pStyle w:val="style39"/>
        <w:keepNext/>
        <w:numPr>
          <w:ilvl w:val="0"/>
          <w:numId w:val="3"/>
        </w:numPr>
        <w:tabs/>
        <w:spacing w:after="0" w:before="0"/>
        <w:ind w:hanging="360" w:left="0" w:right="0"/>
        <w:contextualSpacing w:val="false"/>
      </w:pPr>
      <w:r>
        <w:rPr>
          <w:rFonts w:cs="Arial"/>
          <w:color w:val="000000"/>
          <w:sz w:val="24"/>
          <w:szCs w:val="24"/>
        </w:rPr>
        <w:t>Suspender a execução contratual quando houver motivo que justifique a providência e, conforme o caso, determinar a correção do serviço considerado inadequado;</w:t>
      </w:r>
    </w:p>
    <w:p>
      <w:pPr>
        <w:pStyle w:val="style39"/>
        <w:keepNext/>
        <w:numPr>
          <w:ilvl w:val="0"/>
          <w:numId w:val="3"/>
        </w:numPr>
        <w:tabs/>
        <w:spacing w:after="0" w:before="0"/>
        <w:ind w:hanging="360" w:left="0" w:right="0"/>
        <w:contextualSpacing w:val="false"/>
      </w:pPr>
      <w:r>
        <w:rPr>
          <w:rFonts w:cs="Arial"/>
          <w:color w:val="000000"/>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39"/>
        <w:keepNext/>
        <w:numPr>
          <w:ilvl w:val="0"/>
          <w:numId w:val="3"/>
        </w:numPr>
        <w:tabs/>
        <w:spacing w:after="0" w:before="0"/>
        <w:ind w:hanging="360" w:left="0" w:right="0"/>
        <w:contextualSpacing w:val="false"/>
      </w:pPr>
      <w:r>
        <w:rPr>
          <w:rFonts w:cs="Arial"/>
          <w:color w:val="000000"/>
          <w:sz w:val="24"/>
          <w:szCs w:val="24"/>
        </w:rPr>
        <w:t>Sob pena de responsabilização administrativa, deverá anotar, em diário de Obras a ser fornecido pela Contratada, as ocorrências relativas à execução contrato que vier a ser celebrado, determinando a Contratada, formalmente, o que for necessário à regularização das faltas ou defeitos observados.</w:t>
      </w:r>
    </w:p>
    <w:p>
      <w:pPr>
        <w:pStyle w:val="style39"/>
        <w:keepNext/>
        <w:numPr>
          <w:ilvl w:val="0"/>
          <w:numId w:val="3"/>
        </w:numPr>
        <w:tabs/>
        <w:spacing w:after="0" w:before="0"/>
        <w:ind w:hanging="360" w:left="0" w:right="0"/>
        <w:contextualSpacing w:val="false"/>
      </w:pPr>
      <w:r>
        <w:rPr>
          <w:rFonts w:cs="Arial"/>
          <w:color w:val="000000"/>
          <w:sz w:val="24"/>
          <w:szCs w:val="24"/>
        </w:rPr>
        <w:t>No que exceder à sua competência, comunicar, formalmente, o fato à Autoridade Superior, em tempo hábil, para adoção das medidas cabíveis.</w:t>
      </w:r>
    </w:p>
    <w:p>
      <w:pPr>
        <w:pStyle w:val="style39"/>
        <w:keepNext/>
        <w:spacing w:after="0" w:before="0"/>
        <w:ind w:hanging="0" w:left="0" w:right="0"/>
        <w:contextualSpacing w:val="false"/>
      </w:pPr>
      <w:r>
        <w:rPr>
          <w:rFonts w:cs="Arial"/>
          <w:color w:val="000000"/>
          <w:sz w:val="24"/>
          <w:szCs w:val="24"/>
        </w:rPr>
        <w:tab/>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39"/>
        <w:keepNext/>
        <w:spacing w:after="0" w:before="0"/>
        <w:ind w:hanging="0" w:left="0" w:right="0"/>
        <w:contextualSpacing w:val="false"/>
      </w:pPr>
      <w:r>
        <w:rPr>
          <w:rFonts w:cs="Arial"/>
          <w:color w:val="000000"/>
          <w:sz w:val="24"/>
          <w:szCs w:val="24"/>
        </w:rPr>
        <w:tab/>
        <w:t>A Contratada deverá, contratualmente, ser obrigada a se submeter a todas as medidas, processos e procedimentos adotados pela Fiscalização.</w:t>
      </w:r>
    </w:p>
    <w:p>
      <w:pPr>
        <w:pStyle w:val="style39"/>
        <w:keepNext/>
        <w:spacing w:after="0" w:before="0"/>
        <w:ind w:hanging="0" w:left="0" w:right="0"/>
        <w:contextualSpacing w:val="false"/>
      </w:pPr>
      <w:r>
        <w:rPr>
          <w:rFonts w:cs="Arial"/>
          <w:color w:val="000000"/>
          <w:sz w:val="24"/>
          <w:szCs w:val="24"/>
        </w:rPr>
        <w:tab/>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style39"/>
        <w:keepNext/>
        <w:spacing w:after="0" w:before="0"/>
        <w:ind w:firstLine="708" w:left="0" w:right="0"/>
        <w:contextualSpacing w:val="false"/>
      </w:pPr>
      <w:r>
        <w:rPr>
          <w:rFonts w:cs="Arial"/>
          <w:color w:val="000000"/>
          <w:sz w:val="24"/>
          <w:szCs w:val="24"/>
        </w:rPr>
        <w:t>A Contratada deverá manter, no local dos serviços, preposto com capacidade técica registrado no CAU ou CREA especialmente designado, aceito pela Fiscalização, para prover o que disser respeito à regular execução do contrato.</w:t>
      </w:r>
    </w:p>
    <w:p>
      <w:pPr>
        <w:pStyle w:val="style39"/>
        <w:keepNext/>
        <w:spacing w:after="0" w:before="0"/>
        <w:ind w:hanging="0" w:left="0" w:right="0"/>
        <w:contextualSpacing w:val="false"/>
      </w:pPr>
      <w:r>
        <w:rPr>
          <w:rFonts w:cs="Arial"/>
          <w:color w:val="000000"/>
          <w:sz w:val="24"/>
          <w:szCs w:val="24"/>
        </w:rPr>
        <w:tab/>
        <w:t>A instituição e a atuação da fiscalização do Município não excluem ou atenuam a responsabilidade da Contratada nem a exime de manter fiscalização própria.</w:t>
      </w:r>
    </w:p>
    <w:p>
      <w:pPr>
        <w:pStyle w:val="style39"/>
        <w:keepNext/>
        <w:spacing w:after="0" w:before="0"/>
        <w:ind w:hanging="0" w:left="0" w:right="0"/>
        <w:contextualSpacing w:val="false"/>
      </w:pPr>
      <w:r>
        <w:rPr/>
      </w:r>
    </w:p>
    <w:p>
      <w:pPr>
        <w:pStyle w:val="style1"/>
        <w:numPr>
          <w:ilvl w:val="0"/>
          <w:numId w:val="2"/>
        </w:numPr>
        <w:spacing w:after="0" w:before="0" w:line="360" w:lineRule="auto"/>
        <w:ind w:hanging="360" w:left="0" w:right="0"/>
        <w:contextualSpacing w:val="false"/>
        <w:jc w:val="both"/>
      </w:pPr>
      <w:bookmarkStart w:id="43" w:name="_Toc79806197"/>
      <w:bookmarkStart w:id="44" w:name="_Toc183324528"/>
      <w:bookmarkStart w:id="45" w:name="_Toc183345816"/>
      <w:bookmarkStart w:id="46" w:name="_Toc273265009"/>
      <w:bookmarkStart w:id="47" w:name="_Toc273265233"/>
      <w:bookmarkStart w:id="48" w:name="_Toc273265371"/>
      <w:bookmarkStart w:id="49" w:name="_Toc273277750"/>
      <w:bookmarkEnd w:id="43"/>
      <w:bookmarkEnd w:id="44"/>
      <w:bookmarkEnd w:id="45"/>
      <w:bookmarkEnd w:id="46"/>
      <w:bookmarkEnd w:id="47"/>
      <w:bookmarkEnd w:id="48"/>
      <w:bookmarkEnd w:id="49"/>
      <w:r>
        <w:rPr>
          <w:rFonts w:ascii="Arial" w:cs="Arial" w:hAnsi="Arial"/>
          <w:color w:val="000000"/>
          <w:sz w:val="24"/>
          <w:szCs w:val="24"/>
        </w:rPr>
        <w:t>NORMAS TÉCNICAS DE SAÚDE E SEGURANÇA DO TRABALHO</w:t>
      </w:r>
    </w:p>
    <w:p>
      <w:pPr>
        <w:pStyle w:val="style0"/>
      </w:pPr>
      <w:r>
        <w:rPr/>
      </w:r>
    </w:p>
    <w:p>
      <w:pPr>
        <w:pStyle w:val="style39"/>
        <w:keepNext/>
        <w:spacing w:after="0" w:before="0"/>
        <w:ind w:hanging="0" w:left="0" w:right="0"/>
        <w:contextualSpacing w:val="false"/>
      </w:pPr>
      <w:r>
        <w:rPr>
          <w:rFonts w:cs="Arial"/>
          <w:color w:val="000000"/>
          <w:sz w:val="24"/>
          <w:szCs w:val="24"/>
        </w:rPr>
        <w:tab/>
        <w:t>De modo a atender ao que dispõe o inciso VI, art. 12 da Lei nº 8.666/93, a Contratada deverá observar todas as normas de saúde e segurança do trabalho, aplicáveis aos serviços objeto deste Projeto.</w:t>
      </w:r>
    </w:p>
    <w:p>
      <w:pPr>
        <w:pStyle w:val="style39"/>
        <w:keepNext/>
        <w:spacing w:after="0" w:before="0"/>
        <w:ind w:hanging="0" w:left="0" w:right="0"/>
        <w:contextualSpacing w:val="false"/>
      </w:pPr>
      <w:r>
        <w:rPr>
          <w:rFonts w:cs="Arial"/>
          <w:color w:val="000000"/>
          <w:sz w:val="24"/>
          <w:szCs w:val="24"/>
        </w:rPr>
        <w:tab/>
        <w:t>De modo a atender ao que dispõe o inciso VI, art. 12 da Lei nº 8.666/93, a seguir está informado às normas técnicas de saúde e de segurança do trabalho a serem observadas pela Contratada para execução do objeto deste Projeto Básico:</w:t>
      </w:r>
    </w:p>
    <w:p>
      <w:pPr>
        <w:pStyle w:val="style39"/>
        <w:keepNext/>
        <w:numPr>
          <w:ilvl w:val="0"/>
          <w:numId w:val="4"/>
        </w:numPr>
        <w:tabs>
          <w:tab w:leader="none" w:pos="1004" w:val="left"/>
        </w:tabs>
        <w:spacing w:after="0" w:before="0"/>
        <w:ind w:hanging="360" w:left="0" w:right="0"/>
        <w:contextualSpacing w:val="false"/>
      </w:pPr>
      <w:r>
        <w:rPr>
          <w:rFonts w:cs="Arial"/>
          <w:color w:val="000000"/>
          <w:sz w:val="24"/>
          <w:szCs w:val="24"/>
        </w:rPr>
        <w:t>Fornecer e usar, obrigatoriamente, Equipamento de Proteção Individual (E.P.I.), exigidos conforme a natureza da tarefa (capacete, óculos, luvas, etc.);</w:t>
      </w:r>
    </w:p>
    <w:p>
      <w:pPr>
        <w:pStyle w:val="style39"/>
        <w:keepNext/>
        <w:numPr>
          <w:ilvl w:val="0"/>
          <w:numId w:val="4"/>
        </w:numPr>
        <w:spacing w:after="0" w:before="0"/>
        <w:ind w:hanging="360" w:left="0" w:right="0"/>
        <w:contextualSpacing w:val="false"/>
      </w:pPr>
      <w:r>
        <w:rPr>
          <w:rFonts w:cs="Arial"/>
          <w:color w:val="000000"/>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39"/>
        <w:keepNext/>
        <w:spacing w:after="0" w:before="0"/>
        <w:contextualSpacing w:val="false"/>
      </w:pPr>
      <w:r>
        <w:rPr/>
      </w:r>
    </w:p>
    <w:p>
      <w:pPr>
        <w:pStyle w:val="style1"/>
        <w:numPr>
          <w:ilvl w:val="0"/>
          <w:numId w:val="2"/>
        </w:numPr>
        <w:spacing w:after="0" w:before="0" w:line="360" w:lineRule="auto"/>
        <w:ind w:hanging="360" w:left="0" w:right="0"/>
        <w:contextualSpacing w:val="false"/>
        <w:jc w:val="both"/>
      </w:pPr>
      <w:r>
        <w:rPr>
          <w:rFonts w:ascii="Arial" w:cs="Arial" w:hAnsi="Arial"/>
          <w:color w:val="000000"/>
          <w:sz w:val="24"/>
          <w:szCs w:val="24"/>
        </w:rPr>
        <w:t>QUALIFICAÇÃO DA LICITANTE</w:t>
      </w:r>
    </w:p>
    <w:p>
      <w:pPr>
        <w:pStyle w:val="style39"/>
        <w:keepNext/>
        <w:spacing w:after="0" w:before="0"/>
        <w:ind w:hanging="0" w:left="0" w:right="0"/>
        <w:contextualSpacing w:val="false"/>
      </w:pPr>
      <w:r>
        <w:rPr>
          <w:rFonts w:cs="Arial"/>
          <w:color w:val="000000"/>
          <w:sz w:val="24"/>
          <w:szCs w:val="24"/>
        </w:rPr>
        <w:tab/>
      </w:r>
    </w:p>
    <w:p>
      <w:pPr>
        <w:pStyle w:val="style39"/>
        <w:keepNext/>
        <w:spacing w:after="0" w:before="0"/>
        <w:ind w:firstLine="708" w:left="0" w:right="0"/>
        <w:contextualSpacing w:val="false"/>
      </w:pPr>
      <w:r>
        <w:rPr>
          <w:rFonts w:cs="Arial"/>
        </w:rPr>
        <w:t>A qualificação técnica da licitante será comprovada através da seguinte documentação:</w:t>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sz w:val="20"/>
          <w:szCs w:val="20"/>
        </w:rPr>
        <w:t xml:space="preserve">HABILITAÇÃO TECNICO-OPERACIONAL </w:t>
      </w:r>
    </w:p>
    <w:p>
      <w:pPr>
        <w:pStyle w:val="style40"/>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Certidão comprobatória de Inscrição e regularidade no Conselho de Arquitetura e Urbanismo (CAU) ou do Conselho de Engenharia e Agronomia (CREA) da Empresa e seus respectivos Responsáveis Técnicos com habilitação nos ramos de Arquitetura ou Engenharia Civil, conforme atribuições referentes aos Conselhos pertinentes à categoria profissional;</w:t>
      </w:r>
    </w:p>
    <w:p>
      <w:pPr>
        <w:pStyle w:val="style40"/>
        <w:tabs>
          <w:tab w:leader="none" w:pos="5387" w:val="center"/>
          <w:tab w:leader="none" w:pos="5953" w:val="center"/>
          <w:tab w:leader="none" w:pos="10205" w:val="right"/>
          <w:tab w:leader="none" w:pos="11906" w:val="right"/>
        </w:tabs>
        <w:spacing w:line="360" w:lineRule="auto"/>
        <w:ind w:hanging="0" w:left="1701" w:right="0"/>
        <w:jc w:val="both"/>
      </w:pPr>
      <w:r>
        <w:rPr/>
      </w:r>
    </w:p>
    <w:p>
      <w:pPr>
        <w:pStyle w:val="style40"/>
        <w:tabs>
          <w:tab w:leader="none" w:pos="2858" w:val="center"/>
          <w:tab w:leader="none" w:pos="4972" w:val="center"/>
          <w:tab w:leader="none" w:pos="9224" w:val="right"/>
          <w:tab w:leader="none" w:pos="9944" w:val="right"/>
        </w:tabs>
        <w:spacing w:line="360" w:lineRule="auto"/>
        <w:ind w:hanging="0" w:left="720" w:right="0"/>
        <w:jc w:val="both"/>
      </w:pPr>
      <w:r>
        <w:rPr>
          <w:rFonts w:ascii="Arial" w:cs="Arial" w:hAnsi="Arial"/>
          <w:color w:val="000000"/>
        </w:rPr>
        <w:t>HABILITAÇÃO TECNICO-PROFISSIONAL</w:t>
      </w:r>
    </w:p>
    <w:p>
      <w:pPr>
        <w:pStyle w:val="style40"/>
        <w:numPr>
          <w:ilvl w:val="0"/>
          <w:numId w:val="5"/>
        </w:numPr>
        <w:tabs>
          <w:tab w:leader="none" w:pos="5387" w:val="center"/>
          <w:tab w:leader="none" w:pos="5953" w:val="center"/>
          <w:tab w:leader="none" w:pos="10205" w:val="right"/>
          <w:tab w:leader="none" w:pos="11906" w:val="right"/>
        </w:tabs>
        <w:spacing w:line="360" w:lineRule="auto"/>
        <w:ind w:hanging="261" w:left="1701" w:right="0"/>
        <w:jc w:val="both"/>
      </w:pPr>
      <w:r>
        <w:rPr>
          <w:rFonts w:ascii="Arial" w:cs="Arial" w:hAnsi="Arial"/>
          <w:color w:val="000000"/>
        </w:rPr>
        <w:t>Indicação EXPRESSA, de possuir em seu quadro de pessoal ou contrato de prestação de serviços, na data prevista para a realização do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w:t>
      </w:r>
    </w:p>
    <w:p>
      <w:pPr>
        <w:pStyle w:val="style40"/>
        <w:numPr>
          <w:ilvl w:val="3"/>
          <w:numId w:val="5"/>
        </w:numPr>
        <w:tabs>
          <w:tab w:leader="none" w:pos="5387" w:val="center"/>
          <w:tab w:leader="none" w:pos="5953" w:val="center"/>
          <w:tab w:leader="none" w:pos="7654" w:val="center"/>
          <w:tab w:leader="none" w:pos="10205" w:val="right"/>
          <w:tab w:leader="none" w:pos="11906" w:val="right"/>
        </w:tabs>
        <w:spacing w:line="360" w:lineRule="auto"/>
        <w:ind w:hanging="360" w:left="1701" w:right="0"/>
        <w:jc w:val="both"/>
      </w:pPr>
      <w:r>
        <w:rPr>
          <w:rFonts w:ascii="Arial" w:cs="Arial" w:hAnsi="Arial"/>
          <w:color w:val="000000"/>
        </w:rPr>
        <w:t>Deverá, NO INÍCIO DO SERVIÇO E DURANTE TODA A SUA EXECUÇÃO, permanecer no quadro de pessoal da empresa do prazo do contrato de prestação de serviços um profissional indicado como responsável técnico</w:t>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numPr>
          <w:ilvl w:val="0"/>
          <w:numId w:val="2"/>
        </w:numPr>
        <w:spacing w:line="360" w:lineRule="auto"/>
        <w:jc w:val="both"/>
      </w:pPr>
      <w:r>
        <w:rPr>
          <w:rFonts w:ascii="Arial" w:cs="Arial" w:hAnsi="Arial"/>
          <w:b/>
        </w:rPr>
        <w:t>VISTORIA TECNICA</w:t>
      </w:r>
    </w:p>
    <w:p>
      <w:pPr>
        <w:pStyle w:val="style40"/>
        <w:spacing w:line="360" w:lineRule="auto"/>
        <w:ind w:hanging="0" w:left="360" w:right="0"/>
        <w:jc w:val="both"/>
      </w:pPr>
      <w:r>
        <w:rPr/>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Para o correto dimensionamento e elaboração de sua proposta, o licitante poderá realizar vistoria nas instalações, em virtude da exigência requerida para a boa e perfeita realização do objeto deste termo.</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 xml:space="preserve">A data prevista para a visita técnica, será definida pela SEMOB a partir do primeiro dia útil após a publicação do edital até dois dias uteis antes da licitação. </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Caso a licitante opte pela não realização da vistoria técnica, esta deverá apresentar declaração formal que a empresa tem pleno conhecimento das condições e peculiaridades do objeto licitado.</w:t>
      </w:r>
    </w:p>
    <w:p>
      <w:pPr>
        <w:pStyle w:val="style40"/>
        <w:numPr>
          <w:ilvl w:val="1"/>
          <w:numId w:val="2"/>
        </w:numPr>
        <w:tabs>
          <w:tab w:leader="none" w:pos="1134" w:val="center"/>
          <w:tab w:leader="none" w:pos="4252" w:val="center"/>
          <w:tab w:leader="none" w:pos="8504" w:val="right"/>
        </w:tabs>
        <w:spacing w:line="360" w:lineRule="auto"/>
        <w:jc w:val="both"/>
      </w:pPr>
      <w:r>
        <w:rPr>
          <w:rFonts w:ascii="Arial" w:cs="Arial" w:hAnsi="Arial"/>
        </w:rPr>
        <w:t>Quaisquer informações poderão ser obtidas na SECRETARIA MUNICIPAL DE OBRAS, situada a Avenida 22 de Maio, 7071 – Venda das Pedras – Itaboraí – RJ.</w:t>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tabs>
          <w:tab w:leader="none" w:pos="5387" w:val="center"/>
          <w:tab w:leader="none" w:pos="5953" w:val="center"/>
          <w:tab w:leader="none" w:pos="7654" w:val="center"/>
          <w:tab w:leader="none" w:pos="10205" w:val="right"/>
          <w:tab w:leader="none" w:pos="11906" w:val="right"/>
        </w:tabs>
        <w:spacing w:line="360" w:lineRule="auto"/>
        <w:ind w:hanging="0" w:left="1701" w:right="0"/>
        <w:jc w:val="both"/>
      </w:pPr>
      <w:r>
        <w:rPr/>
      </w:r>
    </w:p>
    <w:p>
      <w:pPr>
        <w:pStyle w:val="style40"/>
        <w:numPr>
          <w:ilvl w:val="0"/>
          <w:numId w:val="2"/>
        </w:numPr>
        <w:tabs>
          <w:tab w:leader="none" w:pos="1985" w:val="center"/>
          <w:tab w:leader="none" w:pos="4252" w:val="center"/>
          <w:tab w:leader="none" w:pos="8504" w:val="right"/>
        </w:tabs>
        <w:spacing w:line="360" w:lineRule="auto"/>
        <w:jc w:val="both"/>
      </w:pPr>
      <w:r>
        <w:rPr>
          <w:rFonts w:ascii="Arial" w:cs="Arial" w:hAnsi="Arial"/>
          <w:b/>
          <w:color w:val="000000"/>
        </w:rPr>
        <w:t>DO PRAZO DE EXECUÇÃO DO CONTRATO</w:t>
      </w:r>
    </w:p>
    <w:p>
      <w:pPr>
        <w:pStyle w:val="style40"/>
        <w:tabs>
          <w:tab w:leader="none" w:pos="1985" w:val="center"/>
          <w:tab w:leader="none" w:pos="4252" w:val="center"/>
          <w:tab w:leader="none" w:pos="8504" w:val="right"/>
        </w:tabs>
        <w:spacing w:line="360" w:lineRule="auto"/>
        <w:jc w:val="both"/>
      </w:pPr>
      <w:r>
        <w:rPr/>
      </w:r>
    </w:p>
    <w:p>
      <w:pPr>
        <w:pStyle w:val="style39"/>
        <w:keepNext/>
        <w:spacing w:after="0" w:before="0"/>
        <w:ind w:firstLine="708" w:left="0" w:right="0"/>
        <w:contextualSpacing w:val="false"/>
      </w:pPr>
      <w:r>
        <w:rPr>
          <w:rFonts w:cs="Arial"/>
          <w:sz w:val="24"/>
          <w:szCs w:val="24"/>
        </w:rPr>
        <w:t>O prazo de vigência do contrato que vier a ser celebrado deverá ser fixado em 6 (seis) meses e para a execução do objeto, o prazo  deverá ser o constante no cronograma físico-financeiro, sendo ambos passíveis de renovação.</w:t>
      </w:r>
    </w:p>
    <w:p>
      <w:pPr>
        <w:pStyle w:val="style39"/>
        <w:spacing w:after="0" w:before="0"/>
        <w:ind w:hanging="0" w:left="0" w:right="0"/>
        <w:contextualSpacing w:val="false"/>
      </w:pPr>
      <w:r>
        <w:rPr>
          <w:rFonts w:cs="Arial"/>
          <w:color w:val="000000"/>
          <w:sz w:val="24"/>
          <w:szCs w:val="24"/>
        </w:rPr>
        <w:tab/>
      </w:r>
      <w:r>
        <w:rPr>
          <w:rFonts w:cs="Arial"/>
          <w:sz w:val="24"/>
          <w:szCs w:val="24"/>
        </w:rPr>
        <w:t>O prazo a que se refere o subitem anterior começará a fluir no 1º (primeiro) dia da assinatura do contrato entre a Prefeitura Municipal de Itaboraí e a contratada, no que se refere a vigência contratual e, do recebimento, pela contratada, da autorização formal para o início da execução da obra, em relação ao execução do objeto, a ser emitida pelo Ordenador da Despesa.</w:t>
      </w:r>
    </w:p>
    <w:p>
      <w:pPr>
        <w:pStyle w:val="style39"/>
        <w:spacing w:after="0" w:before="0"/>
        <w:ind w:hanging="0" w:left="0" w:right="0"/>
        <w:contextualSpacing w:val="false"/>
      </w:pPr>
      <w:r>
        <w:rPr/>
      </w:r>
    </w:p>
    <w:p>
      <w:pPr>
        <w:pStyle w:val="style39"/>
        <w:numPr>
          <w:ilvl w:val="0"/>
          <w:numId w:val="2"/>
        </w:numPr>
        <w:spacing w:after="0" w:before="0"/>
        <w:contextualSpacing w:val="false"/>
      </w:pPr>
      <w:r>
        <w:rPr>
          <w:rFonts w:cs="Arial"/>
          <w:b/>
          <w:color w:val="000000"/>
          <w:sz w:val="24"/>
          <w:szCs w:val="24"/>
        </w:rPr>
        <w:t>ORÇAMENTO ESTIMADO</w:t>
      </w:r>
    </w:p>
    <w:p>
      <w:pPr>
        <w:pStyle w:val="style39"/>
        <w:spacing w:after="0" w:before="0"/>
        <w:contextualSpacing w:val="false"/>
      </w:pPr>
      <w:r>
        <w:rPr/>
      </w:r>
    </w:p>
    <w:p>
      <w:pPr>
        <w:pStyle w:val="style39"/>
        <w:spacing w:after="0" w:before="0"/>
        <w:ind w:firstLine="360" w:left="0" w:right="0"/>
        <w:contextualSpacing w:val="false"/>
      </w:pPr>
      <w:bookmarkStart w:id="50" w:name="_Ref78516743"/>
      <w:bookmarkEnd w:id="50"/>
      <w:r>
        <w:rPr>
          <w:rFonts w:cs="Arial"/>
          <w:sz w:val="24"/>
          <w:szCs w:val="24"/>
        </w:rPr>
        <w:t>Os preços utilizados para os serviços objeto deste Projeto Básico foram tomados por base nas tabelas oficiais SINAPI, EMOP e SCO, e são os apresentados nos seguintes documentos:</w:t>
      </w:r>
    </w:p>
    <w:p>
      <w:pPr>
        <w:pStyle w:val="style39"/>
        <w:spacing w:after="0" w:before="0"/>
        <w:ind w:firstLine="360" w:left="0" w:right="0"/>
        <w:contextualSpacing w:val="false"/>
      </w:pPr>
      <w:r>
        <w:rPr/>
      </w:r>
    </w:p>
    <w:p>
      <w:pPr>
        <w:pStyle w:val="style38"/>
        <w:numPr>
          <w:ilvl w:val="0"/>
          <w:numId w:val="6"/>
        </w:numPr>
        <w:spacing w:after="0" w:before="0" w:line="360" w:lineRule="auto"/>
        <w:contextualSpacing w:val="false"/>
        <w:jc w:val="both"/>
      </w:pPr>
      <w:r>
        <w:rPr>
          <w:rFonts w:ascii="Arial" w:cs="Arial" w:hAnsi="Arial"/>
        </w:rPr>
        <w:t>Orçamento Sintético;</w:t>
      </w:r>
    </w:p>
    <w:p>
      <w:pPr>
        <w:pStyle w:val="style38"/>
        <w:numPr>
          <w:ilvl w:val="0"/>
          <w:numId w:val="6"/>
        </w:numPr>
        <w:spacing w:after="0" w:before="0" w:line="360" w:lineRule="auto"/>
        <w:contextualSpacing w:val="false"/>
        <w:jc w:val="both"/>
      </w:pPr>
      <w:r>
        <w:rPr>
          <w:rFonts w:ascii="Arial" w:cs="Arial" w:hAnsi="Arial"/>
          <w:sz w:val="24"/>
          <w:szCs w:val="24"/>
        </w:rPr>
        <w:t>Orçamento analítico;</w:t>
      </w:r>
    </w:p>
    <w:p>
      <w:pPr>
        <w:pStyle w:val="style38"/>
        <w:numPr>
          <w:ilvl w:val="0"/>
          <w:numId w:val="6"/>
        </w:numPr>
        <w:spacing w:after="0" w:before="0" w:line="360" w:lineRule="auto"/>
        <w:contextualSpacing w:val="false"/>
        <w:jc w:val="both"/>
      </w:pPr>
      <w:r>
        <w:rPr>
          <w:rFonts w:ascii="Arial" w:cs="Arial" w:hAnsi="Arial"/>
          <w:sz w:val="24"/>
          <w:szCs w:val="24"/>
        </w:rPr>
        <w:t>Memória de Cálculo;</w:t>
      </w:r>
    </w:p>
    <w:p>
      <w:pPr>
        <w:pStyle w:val="style38"/>
        <w:numPr>
          <w:ilvl w:val="0"/>
          <w:numId w:val="6"/>
        </w:numPr>
        <w:spacing w:after="0" w:before="0" w:line="360" w:lineRule="auto"/>
        <w:contextualSpacing w:val="false"/>
        <w:jc w:val="both"/>
      </w:pPr>
      <w:r>
        <w:rPr>
          <w:rFonts w:ascii="Arial" w:cs="Arial" w:hAnsi="Arial"/>
          <w:sz w:val="24"/>
          <w:szCs w:val="24"/>
        </w:rPr>
        <w:t>Cronograma Físico – Financeiro;</w:t>
      </w:r>
    </w:p>
    <w:p>
      <w:pPr>
        <w:pStyle w:val="style38"/>
        <w:numPr>
          <w:ilvl w:val="0"/>
          <w:numId w:val="6"/>
        </w:numPr>
        <w:spacing w:after="0" w:before="0" w:line="360" w:lineRule="auto"/>
        <w:contextualSpacing w:val="false"/>
        <w:jc w:val="both"/>
      </w:pPr>
      <w:r>
        <w:rPr>
          <w:rFonts w:ascii="Arial" w:cs="Arial" w:hAnsi="Arial"/>
          <w:sz w:val="24"/>
          <w:szCs w:val="24"/>
        </w:rPr>
        <w:t>Composição do BDI (Benefícios e Despesas Indiretas);</w:t>
      </w:r>
    </w:p>
    <w:p>
      <w:pPr>
        <w:pStyle w:val="style39"/>
        <w:spacing w:after="0" w:before="0"/>
        <w:ind w:hanging="0" w:left="0" w:right="0"/>
        <w:contextualSpacing w:val="false"/>
      </w:pPr>
      <w:r>
        <w:rPr/>
      </w:r>
    </w:p>
    <w:p>
      <w:pPr>
        <w:pStyle w:val="style39"/>
        <w:numPr>
          <w:ilvl w:val="0"/>
          <w:numId w:val="2"/>
        </w:numPr>
        <w:spacing w:after="0" w:before="0"/>
        <w:contextualSpacing w:val="false"/>
      </w:pPr>
      <w:bookmarkStart w:id="51" w:name="_Ref77356342"/>
      <w:bookmarkStart w:id="52" w:name="_Toc79806215"/>
      <w:bookmarkStart w:id="53" w:name="_Toc183324546"/>
      <w:bookmarkStart w:id="54" w:name="_Toc183345834"/>
      <w:bookmarkStart w:id="55" w:name="_Toc273265027"/>
      <w:bookmarkStart w:id="56" w:name="_Toc273265251"/>
      <w:bookmarkStart w:id="57" w:name="_Toc273265389"/>
      <w:bookmarkStart w:id="58" w:name="_Toc273277768"/>
      <w:bookmarkEnd w:id="52"/>
      <w:bookmarkEnd w:id="53"/>
      <w:bookmarkEnd w:id="54"/>
      <w:bookmarkEnd w:id="55"/>
      <w:bookmarkEnd w:id="56"/>
      <w:bookmarkEnd w:id="57"/>
      <w:bookmarkEnd w:id="58"/>
      <w:r>
        <w:rPr>
          <w:rFonts w:cs="Arial"/>
          <w:b/>
          <w:sz w:val="24"/>
          <w:szCs w:val="24"/>
        </w:rPr>
        <w:t>CONDIÇÕES DE PAGAMENTO</w:t>
      </w:r>
    </w:p>
    <w:p>
      <w:pPr>
        <w:pStyle w:val="style39"/>
        <w:spacing w:after="0" w:before="0"/>
        <w:ind w:hanging="0" w:left="360" w:right="0"/>
        <w:contextualSpacing w:val="false"/>
      </w:pPr>
      <w:r>
        <w:rPr/>
      </w:r>
    </w:p>
    <w:p>
      <w:pPr>
        <w:pStyle w:val="style39"/>
        <w:tabs>
          <w:tab w:leader="none" w:pos="851" w:val="left"/>
        </w:tabs>
        <w:spacing w:after="0" w:before="0"/>
        <w:ind w:hanging="0" w:left="0" w:right="0"/>
        <w:contextualSpacing w:val="false"/>
      </w:pPr>
      <w:bookmarkStart w:id="59" w:name="_Ref77356342"/>
      <w:r>
        <w:rPr>
          <w:rFonts w:cs="Arial"/>
          <w:b/>
          <w:sz w:val="24"/>
          <w:szCs w:val="24"/>
        </w:rPr>
        <w:tab/>
      </w:r>
      <w:r>
        <w:rPr>
          <w:rFonts w:cs="Arial"/>
          <w:sz w:val="24"/>
          <w:szCs w:val="24"/>
        </w:rPr>
        <w:t xml:space="preserve">Pela execução do contrato que pactuar os serviços, objeto deste Projeto Básico, uma vez obedecido às formalidades legais e contratuais pertinentes, o Município pagará </w:t>
      </w:r>
      <w:bookmarkEnd w:id="59"/>
      <w:r>
        <w:rPr>
          <w:rFonts w:cs="Arial"/>
          <w:sz w:val="24"/>
          <w:szCs w:val="24"/>
        </w:rPr>
        <w:t xml:space="preserve">a importância total que vier a ser contratada em </w:t>
      </w:r>
      <w:r>
        <w:rPr>
          <w:rFonts w:cs="Arial"/>
          <w:b/>
          <w:sz w:val="24"/>
          <w:szCs w:val="24"/>
        </w:rPr>
        <w:t>parcelas mensais</w:t>
      </w:r>
      <w:r>
        <w:rPr>
          <w:rFonts w:cs="Arial"/>
          <w:sz w:val="24"/>
          <w:szCs w:val="24"/>
        </w:rPr>
        <w:t xml:space="preserve"> até o limite máximo estabelecido no “Cronograma Físico-Financeiro”, conforme as quantidades de serviços efetivamente realizados.</w:t>
      </w:r>
    </w:p>
    <w:p>
      <w:pPr>
        <w:pStyle w:val="style39"/>
        <w:tabs>
          <w:tab w:leader="none" w:pos="851" w:val="left"/>
        </w:tabs>
        <w:spacing w:after="0" w:before="0"/>
        <w:ind w:hanging="0" w:left="0" w:right="0"/>
        <w:contextualSpacing w:val="false"/>
      </w:pPr>
      <w:r>
        <w:rPr>
          <w:rFonts w:cs="Arial"/>
          <w:b/>
          <w:sz w:val="24"/>
          <w:szCs w:val="24"/>
        </w:rPr>
        <w:tab/>
      </w:r>
      <w:r>
        <w:rPr>
          <w:rFonts w:cs="Arial"/>
          <w:sz w:val="24"/>
          <w:szCs w:val="24"/>
        </w:rPr>
        <w:t>As cobranças das parcelas de serviço serão feitas pela Contratada, de acordo com a periodicidade e valores máximos estabelecidos no “Cronograma Físico-Financeiro”, devendo estar acompanhadas dos seguintes documentos:</w:t>
      </w:r>
    </w:p>
    <w:p>
      <w:pPr>
        <w:pStyle w:val="style39"/>
        <w:keepNext/>
        <w:numPr>
          <w:ilvl w:val="0"/>
          <w:numId w:val="7"/>
        </w:numPr>
        <w:spacing w:after="0" w:before="0"/>
        <w:contextualSpacing w:val="false"/>
      </w:pPr>
      <w:r>
        <w:rPr>
          <w:rFonts w:cs="Arial"/>
          <w:color w:val="000000"/>
          <w:sz w:val="24"/>
          <w:szCs w:val="24"/>
        </w:rPr>
        <w:t>Check-list preenchido;</w:t>
      </w:r>
    </w:p>
    <w:p>
      <w:pPr>
        <w:pStyle w:val="style39"/>
        <w:keepNext/>
        <w:numPr>
          <w:ilvl w:val="0"/>
          <w:numId w:val="7"/>
        </w:numPr>
        <w:spacing w:after="0" w:before="0"/>
        <w:contextualSpacing w:val="false"/>
      </w:pPr>
      <w:r>
        <w:rPr>
          <w:rFonts w:cs="Arial"/>
          <w:sz w:val="24"/>
          <w:szCs w:val="24"/>
        </w:rPr>
        <w:t>Nota Fiscal;</w:t>
      </w:r>
    </w:p>
    <w:p>
      <w:pPr>
        <w:pStyle w:val="style39"/>
        <w:keepNext/>
        <w:numPr>
          <w:ilvl w:val="0"/>
          <w:numId w:val="7"/>
        </w:numPr>
        <w:spacing w:after="0" w:before="0"/>
        <w:contextualSpacing w:val="false"/>
      </w:pPr>
      <w:r>
        <w:rPr>
          <w:rFonts w:cs="Arial"/>
          <w:sz w:val="24"/>
          <w:szCs w:val="24"/>
        </w:rPr>
        <w:t>Guia de recolhimento do FGTS paga;</w:t>
      </w:r>
    </w:p>
    <w:p>
      <w:pPr>
        <w:pStyle w:val="style39"/>
        <w:keepNext/>
        <w:numPr>
          <w:ilvl w:val="0"/>
          <w:numId w:val="7"/>
        </w:numPr>
        <w:spacing w:after="0" w:before="0"/>
        <w:contextualSpacing w:val="false"/>
      </w:pPr>
      <w:r>
        <w:rPr>
          <w:rFonts w:cs="Arial"/>
          <w:sz w:val="24"/>
          <w:szCs w:val="24"/>
        </w:rPr>
        <w:t>Guia de INSS paga;</w:t>
      </w:r>
    </w:p>
    <w:p>
      <w:pPr>
        <w:pStyle w:val="style39"/>
        <w:keepNext/>
        <w:numPr>
          <w:ilvl w:val="0"/>
          <w:numId w:val="7"/>
        </w:numPr>
        <w:spacing w:after="0" w:before="0"/>
        <w:contextualSpacing w:val="false"/>
      </w:pPr>
      <w:r>
        <w:rPr>
          <w:rFonts w:cs="Arial"/>
          <w:sz w:val="24"/>
          <w:szCs w:val="24"/>
        </w:rPr>
        <w:t>Folha de pagamento analítico;</w:t>
      </w:r>
    </w:p>
    <w:p>
      <w:pPr>
        <w:pStyle w:val="style39"/>
        <w:keepNext/>
        <w:numPr>
          <w:ilvl w:val="0"/>
          <w:numId w:val="7"/>
        </w:numPr>
        <w:spacing w:after="0" w:before="0"/>
        <w:contextualSpacing w:val="false"/>
      </w:pPr>
      <w:r>
        <w:rPr>
          <w:rFonts w:cs="Arial"/>
          <w:sz w:val="24"/>
          <w:szCs w:val="24"/>
        </w:rPr>
        <w:t>CND e CRF vigentes;</w:t>
      </w:r>
    </w:p>
    <w:p>
      <w:pPr>
        <w:pStyle w:val="style39"/>
        <w:keepNext/>
        <w:numPr>
          <w:ilvl w:val="0"/>
          <w:numId w:val="7"/>
        </w:numPr>
        <w:spacing w:after="0" w:before="0"/>
        <w:contextualSpacing w:val="false"/>
      </w:pPr>
      <w:r>
        <w:rPr>
          <w:rFonts w:cs="Arial"/>
          <w:sz w:val="24"/>
          <w:szCs w:val="24"/>
        </w:rPr>
        <w:t>Planilha de Medição;</w:t>
      </w:r>
    </w:p>
    <w:p>
      <w:pPr>
        <w:pStyle w:val="style39"/>
        <w:keepNext/>
        <w:numPr>
          <w:ilvl w:val="0"/>
          <w:numId w:val="7"/>
        </w:numPr>
        <w:spacing w:after="0" w:before="0"/>
        <w:contextualSpacing w:val="false"/>
      </w:pPr>
      <w:r>
        <w:rPr>
          <w:rFonts w:cs="Arial"/>
          <w:sz w:val="24"/>
          <w:szCs w:val="24"/>
        </w:rPr>
        <w:t>Relatório Fotográfico dos serviços executados, impresso e em mídia;</w:t>
      </w:r>
    </w:p>
    <w:p>
      <w:pPr>
        <w:pStyle w:val="style39"/>
        <w:keepNext/>
        <w:numPr>
          <w:ilvl w:val="0"/>
          <w:numId w:val="7"/>
        </w:numPr>
        <w:spacing w:after="0" w:before="0"/>
        <w:contextualSpacing w:val="false"/>
      </w:pPr>
      <w:r>
        <w:rPr>
          <w:rFonts w:cs="Arial"/>
          <w:sz w:val="24"/>
          <w:szCs w:val="24"/>
        </w:rPr>
        <w:t>Diário de Obras;</w:t>
      </w:r>
    </w:p>
    <w:p>
      <w:pPr>
        <w:pStyle w:val="style39"/>
        <w:keepNext/>
        <w:numPr>
          <w:ilvl w:val="0"/>
          <w:numId w:val="7"/>
        </w:numPr>
        <w:spacing w:after="0" w:before="0"/>
        <w:contextualSpacing w:val="false"/>
      </w:pPr>
      <w:r>
        <w:rPr>
          <w:rFonts w:cs="Arial"/>
          <w:sz w:val="24"/>
          <w:szCs w:val="24"/>
        </w:rPr>
        <w:t>Memória de Cálculo.</w:t>
      </w:r>
    </w:p>
    <w:p>
      <w:pPr>
        <w:pStyle w:val="style39"/>
        <w:keepNext/>
        <w:spacing w:after="0" w:before="0"/>
        <w:ind w:hanging="0" w:left="785" w:right="0"/>
        <w:contextualSpacing w:val="false"/>
      </w:pPr>
      <w:r>
        <w:rPr/>
      </w:r>
    </w:p>
    <w:p>
      <w:pPr>
        <w:pStyle w:val="style39"/>
        <w:tabs>
          <w:tab w:leader="none" w:pos="426" w:val="left"/>
        </w:tabs>
        <w:spacing w:after="0" w:before="0"/>
        <w:ind w:hanging="0" w:left="142" w:right="0"/>
        <w:contextualSpacing w:val="false"/>
      </w:pPr>
      <w:bookmarkStart w:id="60" w:name="_Ref77356420"/>
      <w:r>
        <w:rPr>
          <w:rFonts w:cs="Arial"/>
          <w:sz w:val="24"/>
          <w:szCs w:val="24"/>
        </w:rPr>
        <w:tab/>
        <w:t xml:space="preserve">Os pagamentos serão efetuados pela Prefeitura Municipal de Itaboraí, mediante ao </w:t>
      </w:r>
      <w:bookmarkStart w:id="61" w:name="Texto123"/>
      <w:r>
        <w:rPr>
          <w:rFonts w:cs="Arial"/>
          <w:sz w:val="24"/>
          <w:szCs w:val="24"/>
        </w:rPr>
        <w:t>atesto dos serviços</w:t>
      </w:r>
      <w:bookmarkEnd w:id="61"/>
      <w:r>
        <w:rPr>
          <w:rFonts w:cs="Arial"/>
          <w:sz w:val="24"/>
          <w:szCs w:val="24"/>
        </w:rPr>
        <w:t>, no prazo máximo de 30 (trinta) dias</w:t>
      </w:r>
      <w:bookmarkEnd w:id="60"/>
      <w:r>
        <w:rPr>
          <w:rFonts w:cs="Arial"/>
          <w:sz w:val="24"/>
          <w:szCs w:val="24"/>
        </w:rPr>
        <w:t>, após a entrega de toda documentação, na SECRETARIA MUNICIPAL DE OBRAS, constante no ITEM 12, além do cumprimento de possíveis pendências.</w:t>
      </w:r>
    </w:p>
    <w:p>
      <w:pPr>
        <w:pStyle w:val="style39"/>
        <w:tabs>
          <w:tab w:leader="none" w:pos="426" w:val="left"/>
        </w:tabs>
        <w:spacing w:after="0" w:before="0"/>
        <w:ind w:hanging="0" w:left="142" w:right="0"/>
        <w:contextualSpacing w:val="false"/>
      </w:pPr>
      <w:bookmarkStart w:id="62" w:name="_Hlt77356481"/>
      <w:bookmarkStart w:id="63" w:name="_Ref77356465"/>
      <w:bookmarkEnd w:id="62"/>
      <w:bookmarkEnd w:id="63"/>
      <w:r>
        <w:rPr>
          <w:rFonts w:cs="Arial"/>
          <w:sz w:val="24"/>
          <w:szCs w:val="24"/>
        </w:rPr>
        <w:tab/>
        <w:t>Nos termos do que dispõe a alínea “d”, Inciso XIV, do Art. 40 da Lei Nacional n.º 8.666/93, ficam estabelecidos os seguintes critérios de penalizações e compensações financeiras:</w:t>
      </w:r>
    </w:p>
    <w:p>
      <w:pPr>
        <w:pStyle w:val="style39"/>
        <w:tabs>
          <w:tab w:leader="none" w:pos="426" w:val="left"/>
        </w:tabs>
        <w:spacing w:after="0" w:before="0"/>
        <w:ind w:hanging="0" w:left="142" w:right="0"/>
        <w:contextualSpacing w:val="false"/>
      </w:pPr>
      <w:r>
        <w:rPr>
          <w:rFonts w:cs="Arial"/>
          <w:sz w:val="24"/>
          <w:szCs w:val="24"/>
        </w:rPr>
        <w:tab/>
        <w:t>A partir do 1º dia a contar da data do recebimento da Ordem de Início da Execução do Objeto a que se refere o ITEM 10, a ser expedida pelo FUNDO MUNICIPAL DE SAÚDE, as medições dos serviços serão efetuadas pela Contratada, levando em conta os serviços efetivamente realizados e serão analisadas pelos Fiscais do Contrato.</w:t>
      </w:r>
    </w:p>
    <w:p>
      <w:pPr>
        <w:pStyle w:val="style39"/>
        <w:numPr>
          <w:ilvl w:val="0"/>
          <w:numId w:val="2"/>
        </w:numPr>
        <w:spacing w:after="0" w:before="0"/>
        <w:contextualSpacing w:val="false"/>
      </w:pPr>
      <w:bookmarkStart w:id="64" w:name="_Toc79806217"/>
      <w:bookmarkStart w:id="65" w:name="_Toc183324548"/>
      <w:bookmarkStart w:id="66" w:name="_Toc183345836"/>
      <w:bookmarkStart w:id="67" w:name="_Toc273265029"/>
      <w:bookmarkStart w:id="68" w:name="_Toc273265253"/>
      <w:bookmarkStart w:id="69" w:name="_Toc273265391"/>
      <w:bookmarkStart w:id="70" w:name="_Toc273277770"/>
      <w:bookmarkStart w:id="71" w:name="_Toc2913403"/>
      <w:bookmarkStart w:id="72" w:name="_Toc2919526"/>
      <w:bookmarkStart w:id="73" w:name="_Toc2913408"/>
      <w:bookmarkStart w:id="74" w:name="_Toc2919531"/>
      <w:bookmarkEnd w:id="64"/>
      <w:bookmarkEnd w:id="65"/>
      <w:bookmarkEnd w:id="66"/>
      <w:bookmarkEnd w:id="67"/>
      <w:bookmarkEnd w:id="68"/>
      <w:bookmarkEnd w:id="69"/>
      <w:bookmarkEnd w:id="70"/>
      <w:bookmarkEnd w:id="71"/>
      <w:bookmarkEnd w:id="72"/>
      <w:bookmarkEnd w:id="73"/>
      <w:bookmarkEnd w:id="74"/>
      <w:r>
        <w:rPr>
          <w:rFonts w:cs="Arial"/>
          <w:b/>
          <w:sz w:val="24"/>
          <w:szCs w:val="24"/>
        </w:rPr>
        <w:t>RECEBIMENTO DO OBJETO CONTRATADO</w:t>
      </w:r>
    </w:p>
    <w:p>
      <w:pPr>
        <w:pStyle w:val="style39"/>
        <w:spacing w:after="0" w:before="0"/>
        <w:ind w:hanging="0" w:left="360" w:right="0"/>
        <w:contextualSpacing w:val="false"/>
      </w:pPr>
      <w:r>
        <w:rPr/>
      </w:r>
    </w:p>
    <w:p>
      <w:pPr>
        <w:pStyle w:val="style39"/>
        <w:spacing w:after="0" w:before="0"/>
        <w:ind w:hanging="0" w:left="142" w:right="0"/>
        <w:contextualSpacing w:val="false"/>
      </w:pPr>
      <w:r>
        <w:rPr>
          <w:rFonts w:cs="Arial"/>
          <w:b/>
          <w:sz w:val="24"/>
          <w:szCs w:val="24"/>
        </w:rPr>
        <w:tab/>
      </w:r>
      <w:r>
        <w:rPr>
          <w:rFonts w:cs="Arial"/>
          <w:sz w:val="24"/>
          <w:szCs w:val="24"/>
        </w:rPr>
        <w:t>Executado o Contrato que decorrer deste projeto o seu objeto deverá ser recebido:</w:t>
      </w:r>
    </w:p>
    <w:p>
      <w:pPr>
        <w:pStyle w:val="style39"/>
        <w:numPr>
          <w:ilvl w:val="0"/>
          <w:numId w:val="8"/>
        </w:numPr>
        <w:spacing w:after="0" w:before="0"/>
        <w:contextualSpacing w:val="false"/>
      </w:pPr>
      <w:r>
        <w:rPr>
          <w:rFonts w:cs="Arial"/>
          <w:b/>
          <w:sz w:val="24"/>
          <w:szCs w:val="24"/>
        </w:rPr>
        <w:t>Provisoriamente,</w:t>
      </w:r>
      <w:r>
        <w:rPr>
          <w:rFonts w:cs="Arial"/>
          <w:sz w:val="24"/>
          <w:szCs w:val="24"/>
        </w:rPr>
        <w:t xml:space="preserve"> pelo responsável pelo acompanhamento e fiscalização, mediante termo circunstanciado, assinando pelas partes em até 15 (quinze) dias da comunicação escrita do contratado, acusando o término do serviço.</w:t>
      </w:r>
    </w:p>
    <w:p>
      <w:pPr>
        <w:pStyle w:val="style39"/>
        <w:numPr>
          <w:ilvl w:val="0"/>
          <w:numId w:val="8"/>
        </w:numPr>
        <w:spacing w:after="0" w:before="0"/>
        <w:contextualSpacing w:val="false"/>
      </w:pPr>
      <w:r>
        <w:rPr>
          <w:rFonts w:cs="Arial"/>
          <w:b/>
          <w:sz w:val="24"/>
          <w:szCs w:val="24"/>
        </w:rPr>
        <w:t>Definitivamente,</w:t>
      </w:r>
      <w:r>
        <w:rPr>
          <w:rFonts w:cs="Arial"/>
          <w:sz w:val="24"/>
          <w:szCs w:val="24"/>
        </w:rPr>
        <w:t xml:space="preserve"> por comissão designada pela autoridade competente, mediante termo circunstanciado assinado pelas partes, após o decurso de 60 (sessenta) dias de observação que comprove a adequação do objeto aos termos contratuais.</w:t>
      </w:r>
    </w:p>
    <w:p>
      <w:pPr>
        <w:pStyle w:val="style39"/>
        <w:spacing w:after="0" w:before="0"/>
        <w:ind w:hanging="0" w:left="142" w:right="0"/>
        <w:contextualSpacing w:val="false"/>
      </w:pPr>
      <w:r>
        <w:rPr>
          <w:rFonts w:cs="Arial"/>
          <w:sz w:val="24"/>
          <w:szCs w:val="24"/>
        </w:rPr>
        <w:tab/>
        <w:t>A Contratada está obrigada a refazer, às suas expensas, no total ou em parte, os serviços em que se verificarem vícios, defeitos ou imperfeições resultantes de falhas de execução ou dos materiais empregados.</w:t>
      </w:r>
    </w:p>
    <w:p>
      <w:pPr>
        <w:pStyle w:val="style39"/>
        <w:spacing w:after="0" w:before="0"/>
        <w:ind w:hanging="0" w:left="142" w:right="0"/>
        <w:contextualSpacing w:val="false"/>
      </w:pPr>
      <w:r>
        <w:rPr>
          <w:rFonts w:cs="Arial"/>
          <w:sz w:val="24"/>
          <w:szCs w:val="24"/>
        </w:rPr>
        <w:tab/>
        <w:t>O recebimento provisório ou definitivo do objeto do contrato não exclui a responsabilidade civil pela qualidade dos serviços, nem a ético-profissional, pela perfeita execução do contrato.</w:t>
      </w:r>
    </w:p>
    <w:p>
      <w:pPr>
        <w:pStyle w:val="style39"/>
        <w:spacing w:after="0" w:before="0"/>
        <w:ind w:hanging="0" w:left="142" w:right="0"/>
        <w:contextualSpacing w:val="false"/>
      </w:pPr>
      <w:r>
        <w:rPr/>
      </w:r>
    </w:p>
    <w:p>
      <w:pPr>
        <w:pStyle w:val="style39"/>
        <w:spacing w:after="0" w:before="0"/>
        <w:ind w:hanging="0" w:left="0" w:right="0"/>
        <w:contextualSpacing w:val="false"/>
      </w:pPr>
      <w:bookmarkStart w:id="75" w:name="_Toc79806218"/>
      <w:bookmarkStart w:id="76" w:name="_Toc183324549"/>
      <w:bookmarkStart w:id="77" w:name="_Toc183345837"/>
      <w:bookmarkStart w:id="78" w:name="_Toc273265030"/>
      <w:bookmarkStart w:id="79" w:name="_Toc273265254"/>
      <w:bookmarkStart w:id="80" w:name="_Toc273265392"/>
      <w:bookmarkStart w:id="81" w:name="_Toc273277771"/>
      <w:bookmarkEnd w:id="75"/>
      <w:bookmarkEnd w:id="76"/>
      <w:bookmarkEnd w:id="77"/>
      <w:bookmarkEnd w:id="78"/>
      <w:bookmarkEnd w:id="79"/>
      <w:bookmarkEnd w:id="80"/>
      <w:bookmarkEnd w:id="81"/>
      <w:r>
        <w:rPr>
          <w:rFonts w:cs="Arial"/>
          <w:b/>
          <w:sz w:val="24"/>
          <w:szCs w:val="24"/>
        </w:rPr>
        <w:t>14.   OBRIGAÇÕES DA CONTRATADA</w:t>
      </w:r>
    </w:p>
    <w:p>
      <w:pPr>
        <w:pStyle w:val="style40"/>
        <w:tabs>
          <w:tab w:leader="none" w:pos="1713" w:val="center"/>
          <w:tab w:leader="none" w:pos="4612" w:val="center"/>
          <w:tab w:leader="none" w:pos="8864" w:val="right"/>
          <w:tab w:leader="none" w:pos="9224" w:val="right"/>
        </w:tabs>
        <w:spacing w:line="360" w:lineRule="auto"/>
        <w:ind w:hanging="0" w:left="360" w:right="0"/>
        <w:jc w:val="both"/>
      </w:pPr>
      <w:r>
        <w:rPr/>
      </w:r>
    </w:p>
    <w:p>
      <w:pPr>
        <w:pStyle w:val="style40"/>
        <w:tabs>
          <w:tab w:leader="none" w:pos="1713" w:val="center"/>
          <w:tab w:leader="none" w:pos="4612" w:val="center"/>
          <w:tab w:leader="none" w:pos="8864" w:val="right"/>
          <w:tab w:leader="none" w:pos="9224" w:val="right"/>
        </w:tabs>
        <w:spacing w:line="360" w:lineRule="auto"/>
        <w:ind w:hanging="0" w:left="360" w:right="0"/>
        <w:jc w:val="both"/>
      </w:pPr>
      <w:r>
        <w:rPr>
          <w:rFonts w:ascii="Arial" w:cs="Arial" w:hAnsi="Arial"/>
        </w:rPr>
        <w:t>14.1. O Contrato que decorrer deste Projeto deverá estabelecer, para a Contratada, pelo menos as seguintes obrigações: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Observar, na execução dos serviços, as normas e especificações técnicas a que estiver legalmente vinculada, as estabelecidas neste Projeto Básico e no contrato que vier a ser celebrado;</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Arcar com todas as despesas decorrentes de eventuais serviços realizados em horários extraordinários (diurno, noturno, domingos e feriados), necessários ao exato cumprimento das obrigações que vierem a ser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Providenciar, junto aos órgãos competentes, sem ônus para o Município, todos os registros, licenças e autorizações necessárias ao exato cumprimento das obrigações que vierem a ser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Fornecer todos os materiais, ferramentas, equipamentos e veículos necessários à execução dos serviços que vierem a ser pactuados, bem como toda a mão-de-obra;</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Atender aos pedidos fundamentados do Município para substituir ou afastar quaisquer de seus empregados;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40"/>
        <w:numPr>
          <w:ilvl w:val="2"/>
          <w:numId w:val="11"/>
        </w:numPr>
        <w:tabs>
          <w:tab w:leader="none" w:pos="1418" w:val="center"/>
          <w:tab w:leader="none" w:pos="1560" w:val="left"/>
          <w:tab w:leader="none" w:pos="4252" w:val="center"/>
          <w:tab w:leader="none" w:pos="8504" w:val="right"/>
        </w:tabs>
        <w:spacing w:line="360" w:lineRule="auto"/>
        <w:jc w:val="both"/>
      </w:pPr>
      <w:r>
        <w:rPr>
          <w:rFonts w:ascii="Arial" w:cs="Arial" w:hAnsi="Arial"/>
        </w:rPr>
        <w:t>Responder por violação ao direito de uso de materiais, métodos ou processo de execução protegidos por marcas ou patentes, arcando com indenizações, taxas e/ou comissões que forem devidas;</w:t>
      </w:r>
    </w:p>
    <w:p>
      <w:pPr>
        <w:pStyle w:val="style40"/>
        <w:numPr>
          <w:ilvl w:val="2"/>
          <w:numId w:val="11"/>
        </w:numPr>
        <w:tabs>
          <w:tab w:leader="none" w:pos="851" w:val="center"/>
          <w:tab w:leader="none" w:pos="1418" w:val="left"/>
          <w:tab w:leader="none" w:pos="4252" w:val="center"/>
          <w:tab w:leader="none" w:pos="8504" w:val="right"/>
        </w:tabs>
        <w:spacing w:line="360" w:lineRule="auto"/>
        <w:jc w:val="both"/>
      </w:pPr>
      <w:r>
        <w:rPr>
          <w:rFonts w:ascii="Arial" w:cs="Arial" w:hAnsi="Arial"/>
        </w:rPr>
        <w:t xml:space="preserve">Executar o objeto deste Projeto Básico com zelo, diligência e economia, procedendo sempre de acordo com a melhor técnica aplicável a serviços dessa natureza, </w:t>
      </w:r>
    </w:p>
    <w:p>
      <w:pPr>
        <w:pStyle w:val="style40"/>
        <w:numPr>
          <w:ilvl w:val="2"/>
          <w:numId w:val="11"/>
        </w:numPr>
        <w:tabs>
          <w:tab w:leader="none" w:pos="1134" w:val="center"/>
          <w:tab w:leader="none" w:pos="1276" w:val="left"/>
          <w:tab w:leader="none" w:pos="4252" w:val="center"/>
          <w:tab w:leader="none" w:pos="8504" w:val="right"/>
        </w:tabs>
        <w:spacing w:line="360" w:lineRule="auto"/>
        <w:jc w:val="both"/>
      </w:pPr>
      <w:r>
        <w:rPr>
          <w:rFonts w:ascii="Arial" w:cs="Arial" w:hAnsi="Arial"/>
        </w:rPr>
        <w:t>Acatar as determinações da fiscalização do Município no sentido de substituir, de imediato, os serviços feitos com vícios, defeitos ou imperfeições;</w:t>
      </w:r>
    </w:p>
    <w:p>
      <w:pPr>
        <w:pStyle w:val="style40"/>
        <w:numPr>
          <w:ilvl w:val="2"/>
          <w:numId w:val="11"/>
        </w:numPr>
        <w:tabs>
          <w:tab w:leader="none" w:pos="1134" w:val="center"/>
          <w:tab w:leader="none" w:pos="1701" w:val="right"/>
          <w:tab w:leader="none" w:pos="4252" w:val="center"/>
          <w:tab w:leader="none" w:pos="8504" w:val="right"/>
        </w:tabs>
        <w:spacing w:line="360" w:lineRule="auto"/>
        <w:jc w:val="both"/>
      </w:pPr>
      <w:r>
        <w:rPr>
          <w:rFonts w:ascii="Arial" w:cs="Arial" w:hAnsi="Arial"/>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Responder, por si e por seus sucessores, integralmente e em qualquer caso, por todos os danos e prejuízos, de qualquer natureza, causados por seus empregados ou prepostos ao Município ou a terceiros;</w:t>
      </w:r>
    </w:p>
    <w:p>
      <w:pPr>
        <w:pStyle w:val="style40"/>
        <w:numPr>
          <w:ilvl w:val="2"/>
          <w:numId w:val="11"/>
        </w:numPr>
        <w:tabs>
          <w:tab w:leader="none" w:pos="1560" w:val="center"/>
          <w:tab w:leader="none" w:pos="1701" w:val="right"/>
          <w:tab w:leader="none" w:pos="4252" w:val="center"/>
          <w:tab w:leader="none" w:pos="8504" w:val="right"/>
        </w:tabs>
        <w:spacing w:line="360" w:lineRule="auto"/>
        <w:jc w:val="both"/>
      </w:pPr>
      <w:r>
        <w:rPr>
          <w:rFonts w:ascii="Arial" w:cs="Arial" w:hAnsi="Arial"/>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Manter durante a execução do contrato, em compatibilidade com as obrigações assumidas, todas as condições e qualificações exigidas para a sua contratação;</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Efetuar os serviços objeto deste Projeto Básico obedecendo fiel e integralmente a todas as condições nele estabelecidas, bem como, as instruções e determinações expedidas pela fiscalização do Município;</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Aceitar, nas mesmas condições contratuais os acréscimos até 50%, supressões até 25% que se fizerem necessários, do valor inicial, atualizado, do contrato que vier a ser celebrado, conforme estabelece o § 1º, Art. 65 da Lei nº 8.666/93;</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40"/>
        <w:numPr>
          <w:ilvl w:val="2"/>
          <w:numId w:val="11"/>
        </w:numPr>
        <w:tabs>
          <w:tab w:leader="none" w:pos="1843" w:val="center"/>
          <w:tab w:leader="none" w:pos="4252" w:val="center"/>
          <w:tab w:leader="none" w:pos="8504" w:val="right"/>
        </w:tabs>
        <w:spacing w:line="360" w:lineRule="auto"/>
        <w:jc w:val="both"/>
      </w:pPr>
      <w:r>
        <w:rPr>
          <w:rFonts w:ascii="Arial" w:cs="Arial" w:hAnsi="Arial"/>
        </w:rPr>
        <w:t>Fornecer às suas expensas, todos os materiais de proteção e segurança do trabalho, indispensáveis para a execução do Contrato que vier a ser celebrado, em quantidades compatíveis com o número de pessoas empregadas;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pStyle w:val="style40"/>
        <w:numPr>
          <w:ilvl w:val="2"/>
          <w:numId w:val="11"/>
        </w:numPr>
        <w:tabs>
          <w:tab w:leader="none" w:pos="4252" w:val="center"/>
          <w:tab w:leader="none" w:pos="8504" w:val="right"/>
        </w:tabs>
        <w:spacing w:line="360" w:lineRule="auto"/>
        <w:jc w:val="both"/>
      </w:pPr>
      <w:r>
        <w:rPr>
          <w:rFonts w:ascii="Arial" w:cs="Arial" w:hAnsi="Arial"/>
        </w:rPr>
        <w:t>Manter no local da administração da execução contratual:</w:t>
      </w:r>
    </w:p>
    <w:p>
      <w:pPr>
        <w:pStyle w:val="style40"/>
        <w:numPr>
          <w:ilvl w:val="3"/>
          <w:numId w:val="11"/>
        </w:numPr>
        <w:spacing w:line="360" w:lineRule="auto"/>
        <w:jc w:val="both"/>
      </w:pPr>
      <w:r>
        <w:rPr>
          <w:rFonts w:ascii="Arial" w:cs="Arial" w:hAnsi="Arial"/>
        </w:rPr>
        <w:t>Livro de Ocorrências Diárias;</w:t>
      </w:r>
    </w:p>
    <w:p>
      <w:pPr>
        <w:pStyle w:val="style40"/>
        <w:numPr>
          <w:ilvl w:val="3"/>
          <w:numId w:val="11"/>
        </w:numPr>
        <w:spacing w:line="360" w:lineRule="auto"/>
        <w:jc w:val="both"/>
      </w:pPr>
      <w:r>
        <w:rPr>
          <w:rFonts w:ascii="Arial" w:cs="Arial" w:hAnsi="Arial"/>
        </w:rPr>
        <w:t>Projetos e planilhas pertinentes a execução do objeto;</w:t>
      </w:r>
    </w:p>
    <w:p>
      <w:pPr>
        <w:pStyle w:val="style40"/>
        <w:numPr>
          <w:ilvl w:val="3"/>
          <w:numId w:val="11"/>
        </w:numPr>
        <w:tabs>
          <w:tab w:leader="none" w:pos="1365" w:val="left"/>
          <w:tab w:leader="none" w:pos="4252" w:val="center"/>
          <w:tab w:leader="none" w:pos="8504" w:val="right"/>
        </w:tabs>
        <w:spacing w:line="360" w:lineRule="auto"/>
        <w:jc w:val="both"/>
      </w:pPr>
      <w:r>
        <w:rPr>
          <w:rFonts w:ascii="Arial" w:cs="Arial" w:hAnsi="Arial"/>
        </w:rPr>
        <w:t>Cópia do contrato e dos documentos que o integram;</w:t>
      </w:r>
    </w:p>
    <w:p>
      <w:pPr>
        <w:pStyle w:val="style40"/>
        <w:numPr>
          <w:ilvl w:val="3"/>
          <w:numId w:val="11"/>
        </w:numPr>
        <w:spacing w:line="360" w:lineRule="auto"/>
        <w:jc w:val="both"/>
      </w:pPr>
      <w:r>
        <w:rPr>
          <w:rFonts w:ascii="Arial" w:cs="Arial" w:hAnsi="Arial"/>
        </w:rPr>
        <w:t>Registro das alterações regularmente autorizadas;</w:t>
      </w:r>
    </w:p>
    <w:p>
      <w:pPr>
        <w:pStyle w:val="style40"/>
        <w:numPr>
          <w:ilvl w:val="3"/>
          <w:numId w:val="11"/>
        </w:numPr>
        <w:spacing w:line="360" w:lineRule="auto"/>
        <w:jc w:val="both"/>
      </w:pPr>
      <w:r>
        <w:rPr>
          <w:rFonts w:ascii="Arial" w:cs="Arial" w:hAnsi="Arial"/>
        </w:rPr>
        <w:t>Arquivo ordenado das notas de serviços, relatórios, pareceres, cópias das correspondências trocadas com a Fiscalização;</w:t>
      </w:r>
    </w:p>
    <w:p>
      <w:pPr>
        <w:pStyle w:val="style40"/>
        <w:numPr>
          <w:ilvl w:val="3"/>
          <w:numId w:val="11"/>
        </w:numPr>
        <w:spacing w:line="360" w:lineRule="auto"/>
        <w:jc w:val="both"/>
      </w:pPr>
      <w:r>
        <w:rPr>
          <w:rFonts w:ascii="Arial" w:cs="Arial" w:hAnsi="Arial"/>
        </w:rPr>
        <w:t>Cronograma Físico-Financeiro;</w:t>
      </w:r>
    </w:p>
    <w:p>
      <w:pPr>
        <w:pStyle w:val="style40"/>
        <w:numPr>
          <w:ilvl w:val="3"/>
          <w:numId w:val="11"/>
        </w:numPr>
        <w:spacing w:line="360" w:lineRule="auto"/>
        <w:jc w:val="both"/>
      </w:pPr>
      <w:r>
        <w:rPr>
          <w:rFonts w:ascii="Arial" w:cs="Arial" w:hAnsi="Arial"/>
        </w:rPr>
        <w:t>Folhas de medições realizadas;</w:t>
      </w:r>
    </w:p>
    <w:p>
      <w:pPr>
        <w:pStyle w:val="style40"/>
        <w:numPr>
          <w:ilvl w:val="3"/>
          <w:numId w:val="11"/>
        </w:numPr>
        <w:spacing w:line="360" w:lineRule="auto"/>
        <w:jc w:val="both"/>
      </w:pPr>
      <w:r>
        <w:rPr>
          <w:rFonts w:ascii="Arial" w:cs="Arial" w:hAnsi="Arial"/>
        </w:rPr>
        <w:t>Livro de registro de funcionários.</w:t>
      </w:r>
    </w:p>
    <w:p>
      <w:pPr>
        <w:pStyle w:val="style40"/>
        <w:numPr>
          <w:ilvl w:val="2"/>
          <w:numId w:val="11"/>
        </w:numPr>
        <w:tabs>
          <w:tab w:leader="none" w:pos="1843" w:val="right"/>
          <w:tab w:leader="none" w:pos="4252" w:val="center"/>
          <w:tab w:leader="none" w:pos="8504" w:val="right"/>
        </w:tabs>
        <w:spacing w:line="360" w:lineRule="auto"/>
        <w:jc w:val="both"/>
      </w:pPr>
      <w:r>
        <w:rPr>
          <w:rFonts w:ascii="Arial" w:cs="Arial" w:hAnsi="Arial"/>
        </w:rPr>
        <w:t>Lançar, diariamente, no Livro de Ocorrências, todas as ocorrências relativas à execução dos serviços, tais como anormalidades, chuvas, substituições de empregados, etc.;</w:t>
      </w:r>
    </w:p>
    <w:p>
      <w:pPr>
        <w:pStyle w:val="style40"/>
        <w:numPr>
          <w:ilvl w:val="2"/>
          <w:numId w:val="11"/>
        </w:numPr>
        <w:tabs>
          <w:tab w:leader="none" w:pos="1843" w:val="center"/>
          <w:tab w:leader="none" w:pos="4252" w:val="center"/>
          <w:tab w:leader="none" w:pos="8504" w:val="right"/>
        </w:tabs>
        <w:spacing w:line="360" w:lineRule="auto"/>
        <w:jc w:val="both"/>
      </w:pPr>
      <w:r>
        <w:rPr>
          <w:rFonts w:ascii="Arial" w:cs="Arial" w:hAnsi="Arial"/>
        </w:rPr>
        <w:t>Correrão por conta, responsabilidade e risco da contratada as consequências de imprudência, imperícia ou negligência sua e de seus empregados ou prepostos, notadamente:</w:t>
      </w:r>
    </w:p>
    <w:p>
      <w:pPr>
        <w:pStyle w:val="style40"/>
        <w:numPr>
          <w:ilvl w:val="3"/>
          <w:numId w:val="11"/>
        </w:numPr>
        <w:spacing w:line="360" w:lineRule="auto"/>
        <w:jc w:val="both"/>
      </w:pPr>
      <w:r>
        <w:rPr>
          <w:rFonts w:ascii="Arial" w:cs="Arial" w:hAnsi="Arial"/>
        </w:rPr>
        <w:t xml:space="preserve"> </w:t>
      </w:r>
      <w:r>
        <w:rPr>
          <w:rFonts w:ascii="Arial" w:cs="Arial" w:hAnsi="Arial"/>
        </w:rPr>
        <w:t>Má qualidade dos serviços prestados;</w:t>
      </w:r>
    </w:p>
    <w:p>
      <w:pPr>
        <w:pStyle w:val="style40"/>
        <w:numPr>
          <w:ilvl w:val="3"/>
          <w:numId w:val="11"/>
        </w:numPr>
        <w:spacing w:line="360" w:lineRule="auto"/>
        <w:jc w:val="both"/>
      </w:pPr>
      <w:r>
        <w:rPr>
          <w:rFonts w:ascii="Arial" w:cs="Arial" w:hAnsi="Arial"/>
        </w:rPr>
        <w:t xml:space="preserve"> </w:t>
      </w:r>
      <w:r>
        <w:rPr>
          <w:rFonts w:ascii="Arial" w:cs="Arial" w:hAnsi="Arial"/>
        </w:rPr>
        <w:t>Violação do direito de propriedade industrial;</w:t>
      </w:r>
    </w:p>
    <w:p>
      <w:pPr>
        <w:pStyle w:val="style40"/>
        <w:numPr>
          <w:ilvl w:val="3"/>
          <w:numId w:val="11"/>
        </w:numPr>
        <w:spacing w:line="360" w:lineRule="auto"/>
        <w:jc w:val="both"/>
      </w:pPr>
      <w:r>
        <w:rPr>
          <w:rFonts w:ascii="Arial" w:cs="Arial" w:hAnsi="Arial"/>
        </w:rPr>
        <w:t xml:space="preserve"> </w:t>
      </w:r>
      <w:r>
        <w:rPr>
          <w:rFonts w:ascii="Arial" w:cs="Arial" w:hAnsi="Arial"/>
        </w:rPr>
        <w:t>Furto, perda, roubo, deteriorações ou avarias de materiais ou equipamentos;</w:t>
      </w:r>
    </w:p>
    <w:p>
      <w:pPr>
        <w:pStyle w:val="style40"/>
        <w:numPr>
          <w:ilvl w:val="3"/>
          <w:numId w:val="11"/>
        </w:numPr>
        <w:spacing w:line="360" w:lineRule="auto"/>
        <w:jc w:val="both"/>
      </w:pPr>
      <w:r>
        <w:rPr>
          <w:rFonts w:ascii="Arial" w:cs="Arial" w:hAnsi="Arial"/>
        </w:rPr>
        <w:t xml:space="preserve"> </w:t>
      </w:r>
      <w:r>
        <w:rPr>
          <w:rFonts w:ascii="Arial" w:cs="Arial" w:hAnsi="Arial"/>
        </w:rPr>
        <w:t>Ato ilícito seu, de seus empregados ou de prepostos, que tenham reflexos danosos para o cumprimento da execução contratual;</w:t>
      </w:r>
    </w:p>
    <w:p>
      <w:pPr>
        <w:pStyle w:val="style40"/>
        <w:numPr>
          <w:ilvl w:val="3"/>
          <w:numId w:val="11"/>
        </w:numPr>
        <w:spacing w:line="360" w:lineRule="auto"/>
        <w:jc w:val="both"/>
      </w:pPr>
      <w:r>
        <w:rPr>
          <w:rFonts w:ascii="Arial" w:cs="Arial" w:hAnsi="Arial"/>
        </w:rPr>
        <w:t>Acidentes de qualquer natureza com materiais ou equipamentos, com empregados seus ou com terceiros, na execução dos serviços necessários a execução contratual, ou em decorrência da execução deles;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 xml:space="preserve"> </w:t>
      </w:r>
      <w:r>
        <w:rPr>
          <w:rFonts w:ascii="Arial" w:cs="Arial" w:hAnsi="Arial"/>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Submeter à prévia aprovação do Município, por intermédio do fiscal de execução contratual, qualquer alteração das especificações originalmente pactuadas;</w:t>
      </w:r>
    </w:p>
    <w:p>
      <w:pPr>
        <w:pStyle w:val="style40"/>
        <w:numPr>
          <w:ilvl w:val="2"/>
          <w:numId w:val="11"/>
        </w:numPr>
        <w:tabs>
          <w:tab w:leader="none" w:pos="1701" w:val="center"/>
          <w:tab w:leader="none" w:pos="4252" w:val="center"/>
          <w:tab w:leader="none" w:pos="8504" w:val="right"/>
        </w:tabs>
        <w:spacing w:line="360" w:lineRule="auto"/>
        <w:jc w:val="both"/>
      </w:pPr>
      <w:r>
        <w:rPr>
          <w:rFonts w:ascii="Arial" w:cs="Arial" w:hAnsi="Arial"/>
        </w:rPr>
        <w:t>Apresentar ao Município, sempre que solicitado, os comprovantes pagos dos recolhimentos devidos ao INSS, FGTS, além de outras documentaçõs pertinentes as obrigações trabalhistas, mediante cópia;</w:t>
      </w:r>
    </w:p>
    <w:p>
      <w:pPr>
        <w:pStyle w:val="style40"/>
        <w:numPr>
          <w:ilvl w:val="2"/>
          <w:numId w:val="11"/>
        </w:numPr>
        <w:tabs>
          <w:tab w:leader="none" w:pos="1701" w:val="left"/>
          <w:tab w:leader="none" w:pos="4252" w:val="center"/>
          <w:tab w:leader="none" w:pos="8504" w:val="right"/>
        </w:tabs>
        <w:spacing w:line="360" w:lineRule="auto"/>
        <w:jc w:val="both"/>
      </w:pPr>
      <w:r>
        <w:rPr>
          <w:rFonts w:ascii="Arial" w:cs="Arial" w:hAnsi="Arial"/>
        </w:rPr>
        <w:t xml:space="preserve">Comunicar ao fiscal da execução contratual, </w:t>
      </w:r>
      <w:r>
        <w:rPr>
          <w:rFonts w:ascii="Arial" w:cs="Arial" w:hAnsi="Arial"/>
          <w:b/>
        </w:rPr>
        <w:t>no prazo máximo de 48h (quarenta e oito horas),</w:t>
      </w:r>
      <w:r>
        <w:rPr>
          <w:rFonts w:ascii="Arial" w:cs="Arial" w:hAnsi="Arial"/>
        </w:rPr>
        <w:t xml:space="preserve"> os motivos de força maior que possam justificar a interrupção dos serviços.</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Quaisquer erros ou imperícias na execução do contrato, constatados pelo Município, obrigarão a contratada, à sua conta e risco, a repor as parcelas de serviços impugnados, sem prejuízo de Ação Regressiva contra quem tiver dado causa;</w:t>
      </w:r>
    </w:p>
    <w:p>
      <w:pPr>
        <w:pStyle w:val="style40"/>
        <w:numPr>
          <w:ilvl w:val="1"/>
          <w:numId w:val="11"/>
        </w:numPr>
        <w:tabs>
          <w:tab w:leader="none" w:pos="993" w:val="center"/>
          <w:tab w:leader="none" w:pos="4252" w:val="center"/>
          <w:tab w:leader="none" w:pos="8504" w:val="right"/>
        </w:tabs>
        <w:spacing w:line="360" w:lineRule="auto"/>
        <w:jc w:val="both"/>
      </w:pPr>
      <w:r>
        <w:rPr>
          <w:rFonts w:ascii="Arial" w:cs="Arial" w:hAnsi="Arial"/>
        </w:rPr>
        <w:t>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pStyle w:val="style39"/>
        <w:spacing w:after="0" w:before="0"/>
        <w:ind w:hanging="0" w:left="862" w:right="0"/>
        <w:contextualSpacing w:val="false"/>
      </w:pPr>
      <w:r>
        <w:rPr/>
      </w:r>
    </w:p>
    <w:p>
      <w:pPr>
        <w:pStyle w:val="style39"/>
        <w:spacing w:after="0" w:before="0"/>
        <w:ind w:hanging="0" w:left="0" w:right="0"/>
        <w:contextualSpacing w:val="false"/>
      </w:pPr>
      <w:bookmarkStart w:id="82" w:name="_Toc79806219"/>
      <w:bookmarkStart w:id="83" w:name="_Toc183324550"/>
      <w:bookmarkStart w:id="84" w:name="_Toc183345838"/>
      <w:bookmarkStart w:id="85" w:name="_Toc273265031"/>
      <w:bookmarkStart w:id="86" w:name="_Toc273265255"/>
      <w:bookmarkStart w:id="87" w:name="_Toc273265393"/>
      <w:bookmarkStart w:id="88" w:name="_Toc273277772"/>
      <w:bookmarkEnd w:id="82"/>
      <w:bookmarkEnd w:id="83"/>
      <w:bookmarkEnd w:id="84"/>
      <w:bookmarkEnd w:id="85"/>
      <w:bookmarkEnd w:id="86"/>
      <w:bookmarkEnd w:id="87"/>
      <w:bookmarkEnd w:id="88"/>
      <w:r>
        <w:rPr>
          <w:rFonts w:cs="Arial"/>
          <w:b/>
          <w:sz w:val="24"/>
          <w:szCs w:val="24"/>
        </w:rPr>
        <w:t>15.  SANÇÕES ADMINISTRATIVAS</w:t>
      </w:r>
    </w:p>
    <w:p>
      <w:pPr>
        <w:pStyle w:val="style39"/>
        <w:spacing w:after="0" w:before="0"/>
        <w:ind w:hanging="0" w:left="0" w:right="0"/>
        <w:contextualSpacing w:val="false"/>
      </w:pPr>
      <w:r>
        <w:rPr/>
      </w:r>
    </w:p>
    <w:p>
      <w:pPr>
        <w:pStyle w:val="style39"/>
        <w:spacing w:after="0" w:before="0"/>
        <w:ind w:hanging="0" w:left="0" w:right="0"/>
        <w:contextualSpacing w:val="false"/>
      </w:pPr>
      <w:r>
        <w:rPr>
          <w:rFonts w:cs="Arial"/>
          <w:b/>
          <w:sz w:val="24"/>
          <w:szCs w:val="24"/>
        </w:rPr>
        <w:tab/>
      </w:r>
      <w:r>
        <w:rPr>
          <w:rFonts w:cs="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39"/>
        <w:numPr>
          <w:ilvl w:val="0"/>
          <w:numId w:val="9"/>
        </w:numPr>
        <w:spacing w:after="0" w:before="0"/>
        <w:contextualSpacing w:val="false"/>
      </w:pPr>
      <w:r>
        <w:rPr>
          <w:rFonts w:cs="Arial"/>
          <w:sz w:val="24"/>
          <w:szCs w:val="24"/>
        </w:rPr>
        <w:t>Advertência:</w:t>
      </w:r>
    </w:p>
    <w:p>
      <w:pPr>
        <w:pStyle w:val="style39"/>
        <w:numPr>
          <w:ilvl w:val="1"/>
          <w:numId w:val="9"/>
        </w:numPr>
        <w:spacing w:after="0" w:before="0"/>
        <w:contextualSpacing w:val="false"/>
      </w:pPr>
      <w:r>
        <w:rPr>
          <w:rFonts w:cs="Arial"/>
          <w:sz w:val="24"/>
          <w:szCs w:val="24"/>
        </w:rPr>
        <w:t>Poderá ser aplicada nos casos em que a Contratada seja primária na infração cometida.  O Fundo Municipal de Saúde, a seu critério, poderá decidir pela notificação formal, advertindo a Contratada de que, em caso de reincidências as sanções pecuniárias, previstas, lhes serão aplicadas.</w:t>
      </w:r>
    </w:p>
    <w:p>
      <w:pPr>
        <w:pStyle w:val="style39"/>
        <w:numPr>
          <w:ilvl w:val="0"/>
          <w:numId w:val="9"/>
        </w:numPr>
        <w:spacing w:after="0" w:before="0"/>
        <w:contextualSpacing w:val="false"/>
      </w:pPr>
      <w:r>
        <w:rPr>
          <w:rFonts w:cs="Arial"/>
          <w:sz w:val="24"/>
          <w:szCs w:val="24"/>
        </w:rPr>
        <w:t>Multa poderá ser aplicada pelo Fundo Municipal de Saúde, quando do cometimento das seguintes infrações:</w:t>
      </w:r>
    </w:p>
    <w:p>
      <w:pPr>
        <w:pStyle w:val="style39"/>
        <w:numPr>
          <w:ilvl w:val="1"/>
          <w:numId w:val="9"/>
        </w:numPr>
        <w:spacing w:after="0" w:before="0"/>
        <w:contextualSpacing w:val="false"/>
      </w:pPr>
      <w:r>
        <w:rPr>
          <w:rFonts w:cs="Arial"/>
          <w:sz w:val="24"/>
          <w:szCs w:val="24"/>
        </w:rPr>
        <w:t>Não cumprimento no todo ou em parte do contido neste projeto;</w:t>
      </w:r>
    </w:p>
    <w:p>
      <w:pPr>
        <w:pStyle w:val="style39"/>
        <w:numPr>
          <w:ilvl w:val="1"/>
          <w:numId w:val="9"/>
        </w:numPr>
        <w:spacing w:after="0" w:before="0"/>
        <w:contextualSpacing w:val="false"/>
      </w:pPr>
      <w:r>
        <w:rPr>
          <w:rFonts w:cs="Arial"/>
          <w:sz w:val="24"/>
          <w:szCs w:val="24"/>
        </w:rPr>
        <w:t>Falta de apólice de seguro obrigatório, quando for o caso;</w:t>
      </w:r>
    </w:p>
    <w:p>
      <w:pPr>
        <w:pStyle w:val="style39"/>
        <w:numPr>
          <w:ilvl w:val="1"/>
          <w:numId w:val="9"/>
        </w:numPr>
        <w:spacing w:after="0" w:before="0"/>
        <w:contextualSpacing w:val="false"/>
      </w:pPr>
      <w:r>
        <w:rPr>
          <w:rFonts w:cs="Arial"/>
          <w:sz w:val="24"/>
          <w:szCs w:val="24"/>
        </w:rPr>
        <w:t>Desautorizar ordens ou recusar documentos da fiscalização;</w:t>
      </w:r>
    </w:p>
    <w:p>
      <w:pPr>
        <w:pStyle w:val="style39"/>
        <w:numPr>
          <w:ilvl w:val="1"/>
          <w:numId w:val="9"/>
        </w:numPr>
        <w:spacing w:after="0" w:before="0"/>
        <w:contextualSpacing w:val="false"/>
      </w:pPr>
      <w:r>
        <w:rPr>
          <w:rFonts w:cs="Arial"/>
          <w:sz w:val="24"/>
          <w:szCs w:val="24"/>
        </w:rPr>
        <w:t>Descumprir, na execução dos serviços, as especificações técnicas estabelecidas neste projeto, bem como em qualquer norma técnica oficial vinculante;</w:t>
      </w:r>
    </w:p>
    <w:p>
      <w:pPr>
        <w:pStyle w:val="style39"/>
        <w:numPr>
          <w:ilvl w:val="1"/>
          <w:numId w:val="9"/>
        </w:numPr>
        <w:spacing w:after="0" w:before="0"/>
        <w:contextualSpacing w:val="false"/>
      </w:pPr>
      <w:r>
        <w:rPr>
          <w:rFonts w:cs="Arial"/>
          <w:sz w:val="24"/>
          <w:szCs w:val="24"/>
        </w:rPr>
        <w:t>Deixar de observar, na execução dos serviços exigências das legislações do Município, do Estado ou Federal;</w:t>
      </w:r>
    </w:p>
    <w:p>
      <w:pPr>
        <w:pStyle w:val="style39"/>
        <w:numPr>
          <w:ilvl w:val="1"/>
          <w:numId w:val="9"/>
        </w:numPr>
        <w:spacing w:after="0" w:before="0"/>
        <w:contextualSpacing w:val="false"/>
      </w:pPr>
      <w:r>
        <w:rPr>
          <w:rFonts w:cs="Arial"/>
          <w:sz w:val="24"/>
          <w:szCs w:val="24"/>
        </w:rPr>
        <w:t>Manutenção em serviço de empregados cujo afastamento tenha sido exigido pela Fiscalização, na forma prevista no contrato;</w:t>
      </w:r>
    </w:p>
    <w:p>
      <w:pPr>
        <w:pStyle w:val="style39"/>
        <w:numPr>
          <w:ilvl w:val="1"/>
          <w:numId w:val="9"/>
        </w:numPr>
        <w:spacing w:after="0" w:before="0"/>
        <w:contextualSpacing w:val="false"/>
      </w:pPr>
      <w:r>
        <w:rPr>
          <w:rFonts w:cs="Arial"/>
          <w:sz w:val="24"/>
          <w:szCs w:val="24"/>
        </w:rPr>
        <w:t xml:space="preserve">Constatação da ingestão de bebidas alcoólicas e uso de narcóticos por servidores da contratada, quando em serviço; </w:t>
      </w:r>
    </w:p>
    <w:p>
      <w:pPr>
        <w:pStyle w:val="style39"/>
        <w:numPr>
          <w:ilvl w:val="1"/>
          <w:numId w:val="9"/>
        </w:numPr>
        <w:spacing w:after="0" w:before="0"/>
        <w:contextualSpacing w:val="false"/>
      </w:pPr>
      <w:r>
        <w:rPr>
          <w:rFonts w:cs="Arial"/>
          <w:sz w:val="24"/>
          <w:szCs w:val="24"/>
        </w:rPr>
        <w:t>Deixar de cumprir, sem motivo justificado, os prazos parciais ou totais pactuados;</w:t>
      </w:r>
    </w:p>
    <w:p>
      <w:pPr>
        <w:pStyle w:val="style39"/>
        <w:numPr>
          <w:ilvl w:val="1"/>
          <w:numId w:val="9"/>
        </w:numPr>
        <w:spacing w:after="0" w:before="0"/>
        <w:contextualSpacing w:val="false"/>
      </w:pPr>
      <w:r>
        <w:rPr>
          <w:rFonts w:cs="Arial"/>
          <w:sz w:val="24"/>
          <w:szCs w:val="24"/>
        </w:rPr>
        <w:t>Manter servidor no horário de trabalho sem o uniforme estabelecido;</w:t>
      </w:r>
    </w:p>
    <w:p>
      <w:pPr>
        <w:pStyle w:val="style39"/>
        <w:numPr>
          <w:ilvl w:val="1"/>
          <w:numId w:val="9"/>
        </w:numPr>
        <w:spacing w:after="0" w:before="0"/>
        <w:contextualSpacing w:val="false"/>
      </w:pPr>
      <w:r>
        <w:rPr>
          <w:rFonts w:cs="Arial"/>
          <w:sz w:val="24"/>
          <w:szCs w:val="24"/>
        </w:rPr>
        <w:t>Incontinência pública de qualquer preposto da Contratada;</w:t>
      </w:r>
    </w:p>
    <w:p>
      <w:pPr>
        <w:pStyle w:val="style39"/>
        <w:numPr>
          <w:ilvl w:val="1"/>
          <w:numId w:val="9"/>
        </w:numPr>
        <w:spacing w:after="0" w:before="0"/>
        <w:contextualSpacing w:val="false"/>
      </w:pPr>
      <w:r>
        <w:rPr>
          <w:rFonts w:cs="Arial"/>
          <w:sz w:val="24"/>
          <w:szCs w:val="24"/>
        </w:rPr>
        <w:t>Deixar de apresentar à fiscalização da execução contratual, quando solicitada, documentação exigida por lei;</w:t>
      </w:r>
    </w:p>
    <w:p>
      <w:pPr>
        <w:pStyle w:val="style39"/>
        <w:numPr>
          <w:ilvl w:val="1"/>
          <w:numId w:val="9"/>
        </w:numPr>
        <w:spacing w:after="0" w:before="0"/>
        <w:contextualSpacing w:val="false"/>
      </w:pPr>
      <w:r>
        <w:rPr>
          <w:rFonts w:cs="Arial"/>
          <w:sz w:val="24"/>
          <w:szCs w:val="24"/>
        </w:rPr>
        <w:t>Não fixar em local regulamentar ou manter encobertos documentos cuja exibição seja exigível por Lei;</w:t>
      </w:r>
    </w:p>
    <w:p>
      <w:pPr>
        <w:pStyle w:val="style39"/>
        <w:numPr>
          <w:ilvl w:val="1"/>
          <w:numId w:val="9"/>
        </w:numPr>
        <w:spacing w:after="0" w:before="0"/>
        <w:contextualSpacing w:val="false"/>
      </w:pPr>
      <w:r>
        <w:rPr>
          <w:rFonts w:cs="Arial"/>
          <w:sz w:val="24"/>
          <w:szCs w:val="24"/>
        </w:rPr>
        <w:t>Deixar de designar preposto para acompanhar a execução da obra, nos termos do disposto no art. 68 da Lei Nacional nº 8.666/93;</w:t>
      </w:r>
    </w:p>
    <w:p>
      <w:pPr>
        <w:pStyle w:val="style39"/>
        <w:numPr>
          <w:ilvl w:val="1"/>
          <w:numId w:val="9"/>
        </w:numPr>
        <w:spacing w:after="0" w:before="0"/>
        <w:contextualSpacing w:val="false"/>
      </w:pPr>
      <w:r>
        <w:rPr>
          <w:rFonts w:cs="Arial"/>
          <w:sz w:val="24"/>
          <w:szCs w:val="24"/>
        </w:rPr>
        <w:t>Deixar de fornecer uniformes, calçados padronizados e equipamentos de proteção individual, conforme exigências das leis trabalhistas;</w:t>
      </w:r>
    </w:p>
    <w:p>
      <w:pPr>
        <w:pStyle w:val="style39"/>
        <w:numPr>
          <w:ilvl w:val="1"/>
          <w:numId w:val="9"/>
        </w:numPr>
        <w:spacing w:after="0" w:before="0"/>
        <w:contextualSpacing w:val="false"/>
      </w:pPr>
      <w:r>
        <w:rPr>
          <w:rFonts w:cs="Arial"/>
          <w:sz w:val="24"/>
          <w:szCs w:val="24"/>
        </w:rPr>
        <w:t>Deixar de promover a identificação de seus empregados na forma que vier a ser estabelecida pela fiscalização;</w:t>
      </w:r>
    </w:p>
    <w:p>
      <w:pPr>
        <w:pStyle w:val="style39"/>
        <w:numPr>
          <w:ilvl w:val="1"/>
          <w:numId w:val="9"/>
        </w:numPr>
        <w:spacing w:after="0" w:before="0"/>
        <w:contextualSpacing w:val="false"/>
      </w:pPr>
      <w:r>
        <w:rPr>
          <w:rFonts w:cs="Arial"/>
          <w:sz w:val="24"/>
          <w:szCs w:val="24"/>
        </w:rPr>
        <w:t xml:space="preserve">Deixar de cumprir qualquer determinação da Lei n.º 6.514, de 22 de dezembro de 1997, e das demais normas que regulamentam a segurança e medicina do trabalho, aplicáveis aos </w:t>
      </w:r>
      <w:bookmarkStart w:id="89" w:name="Texto127"/>
      <w:r>
        <w:rPr>
          <w:rFonts w:cs="Arial"/>
          <w:sz w:val="24"/>
          <w:szCs w:val="24"/>
        </w:rPr>
        <w:t>serviços ou obras</w:t>
      </w:r>
      <w:bookmarkEnd w:id="89"/>
      <w:r>
        <w:rPr>
          <w:rFonts w:cs="Arial"/>
          <w:sz w:val="24"/>
          <w:szCs w:val="24"/>
        </w:rPr>
        <w:t xml:space="preserve"> objeto deste Projeto;</w:t>
      </w:r>
    </w:p>
    <w:p>
      <w:pPr>
        <w:pStyle w:val="style39"/>
        <w:numPr>
          <w:ilvl w:val="1"/>
          <w:numId w:val="9"/>
        </w:numPr>
        <w:spacing w:after="0" w:before="0"/>
        <w:contextualSpacing w:val="false"/>
      </w:pPr>
      <w:r>
        <w:rPr>
          <w:rFonts w:cs="Arial"/>
          <w:sz w:val="24"/>
          <w:szCs w:val="24"/>
        </w:rPr>
        <w:t xml:space="preserve">Deixar de disponibilizar quaisquer equipamentos, instrumentos, ferramentas ou materiais necessários à realização dos </w:t>
      </w:r>
      <w:bookmarkStart w:id="90" w:name="Texto128"/>
      <w:r>
        <w:rPr>
          <w:rFonts w:cs="Arial"/>
          <w:sz w:val="24"/>
          <w:szCs w:val="24"/>
        </w:rPr>
        <w:t>serviços ou obras</w:t>
      </w:r>
      <w:bookmarkEnd w:id="90"/>
      <w:r>
        <w:rPr>
          <w:rFonts w:cs="Arial"/>
          <w:sz w:val="24"/>
          <w:szCs w:val="24"/>
        </w:rPr>
        <w:t>, cuja falta possa a vir a prejudicar o regular andamento da execução contratual;</w:t>
      </w:r>
    </w:p>
    <w:p>
      <w:pPr>
        <w:pStyle w:val="style39"/>
        <w:numPr>
          <w:ilvl w:val="1"/>
          <w:numId w:val="9"/>
        </w:numPr>
        <w:spacing w:after="0" w:before="0"/>
        <w:contextualSpacing w:val="false"/>
      </w:pPr>
      <w:r>
        <w:rPr>
          <w:rFonts w:cs="Arial"/>
          <w:sz w:val="24"/>
          <w:szCs w:val="24"/>
        </w:rPr>
        <w:t xml:space="preserve">Desfazer-se de entulhos e rejeitos dos </w:t>
      </w:r>
      <w:bookmarkStart w:id="91" w:name="Texto129"/>
      <w:r>
        <w:rPr>
          <w:rFonts w:cs="Arial"/>
          <w:sz w:val="24"/>
          <w:szCs w:val="24"/>
        </w:rPr>
        <w:t>serviços ou obras</w:t>
      </w:r>
      <w:bookmarkEnd w:id="91"/>
      <w:r>
        <w:rPr>
          <w:rFonts w:cs="Arial"/>
          <w:sz w:val="24"/>
          <w:szCs w:val="24"/>
        </w:rPr>
        <w:t xml:space="preserve"> sem a observância das normas legais que disciplinam essa prática, principalmente ao prescrito na Resolução CONAMA n.º 307.</w:t>
      </w:r>
    </w:p>
    <w:p>
      <w:pPr>
        <w:pStyle w:val="style39"/>
        <w:numPr>
          <w:ilvl w:val="1"/>
          <w:numId w:val="9"/>
        </w:numPr>
        <w:spacing w:after="0" w:before="0"/>
        <w:contextualSpacing w:val="false"/>
      </w:pPr>
      <w:r>
        <w:rPr>
          <w:rFonts w:cs="Arial"/>
          <w:sz w:val="24"/>
          <w:szCs w:val="24"/>
        </w:rPr>
        <w:t>Manter pessoas não registradas no quadro de funcionários  da Empresa na execução do objeto (obra).</w:t>
      </w:r>
    </w:p>
    <w:p>
      <w:pPr>
        <w:pStyle w:val="style39"/>
        <w:numPr>
          <w:ilvl w:val="0"/>
          <w:numId w:val="9"/>
        </w:numPr>
        <w:spacing w:after="0" w:before="0"/>
        <w:contextualSpacing w:val="false"/>
      </w:pPr>
      <w:r>
        <w:rPr>
          <w:rFonts w:cs="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style39"/>
        <w:numPr>
          <w:ilvl w:val="0"/>
          <w:numId w:val="9"/>
        </w:numPr>
        <w:spacing w:after="0" w:before="0"/>
        <w:contextualSpacing w:val="false"/>
      </w:pPr>
      <w:r>
        <w:rPr>
          <w:rFonts w:cs="Arial"/>
          <w:sz w:val="24"/>
          <w:szCs w:val="24"/>
        </w:rPr>
        <w:t xml:space="preserve"> </w:t>
      </w:r>
      <w:r>
        <w:rPr>
          <w:rFonts w:cs="Arial"/>
          <w:sz w:val="24"/>
          <w:szCs w:val="24"/>
        </w:rPr>
        <w:t>A pena de declaração de inidoneidade aplicar-se-á nos casos de:</w:t>
      </w:r>
    </w:p>
    <w:p>
      <w:pPr>
        <w:pStyle w:val="style39"/>
        <w:numPr>
          <w:ilvl w:val="1"/>
          <w:numId w:val="9"/>
        </w:numPr>
        <w:spacing w:after="0" w:before="0"/>
        <w:contextualSpacing w:val="false"/>
      </w:pPr>
      <w:r>
        <w:rPr>
          <w:rFonts w:cs="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39"/>
        <w:numPr>
          <w:ilvl w:val="1"/>
          <w:numId w:val="9"/>
        </w:numPr>
        <w:spacing w:after="0" w:before="0"/>
        <w:contextualSpacing w:val="false"/>
      </w:pPr>
      <w:r>
        <w:rPr>
          <w:rFonts w:cs="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style39"/>
        <w:numPr>
          <w:ilvl w:val="1"/>
          <w:numId w:val="9"/>
        </w:numPr>
        <w:spacing w:after="0" w:before="0"/>
        <w:contextualSpacing w:val="false"/>
      </w:pPr>
      <w:r>
        <w:rPr>
          <w:rFonts w:cs="Arial"/>
          <w:sz w:val="24"/>
          <w:szCs w:val="24"/>
        </w:rPr>
        <w:t>Prática de atos ilícitos visando a frustrar os objetivos da licitação;</w:t>
      </w:r>
    </w:p>
    <w:p>
      <w:pPr>
        <w:pStyle w:val="style39"/>
        <w:numPr>
          <w:ilvl w:val="1"/>
          <w:numId w:val="9"/>
        </w:numPr>
        <w:spacing w:after="0" w:before="0"/>
        <w:contextualSpacing w:val="false"/>
      </w:pPr>
      <w:r>
        <w:rPr>
          <w:rFonts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style39"/>
        <w:numPr>
          <w:ilvl w:val="1"/>
          <w:numId w:val="9"/>
        </w:numPr>
        <w:spacing w:after="0" w:before="0"/>
        <w:contextualSpacing w:val="false"/>
      </w:pPr>
      <w:r>
        <w:rPr>
          <w:rFonts w:cs="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39"/>
        <w:numPr>
          <w:ilvl w:val="1"/>
          <w:numId w:val="9"/>
        </w:numPr>
        <w:spacing w:after="0" w:before="0"/>
        <w:contextualSpacing w:val="false"/>
      </w:pPr>
      <w:r>
        <w:rPr>
          <w:rFonts w:cs="Arial"/>
          <w:sz w:val="24"/>
          <w:szCs w:val="24"/>
        </w:rPr>
        <w:t>Pela inexecução total ou parcial do contrato de acordo com o art. 87, iv da lei 8666/93.</w:t>
      </w:r>
    </w:p>
    <w:p>
      <w:pPr>
        <w:pStyle w:val="style39"/>
        <w:spacing w:after="0" w:before="0"/>
        <w:ind w:hanging="0" w:left="1582" w:right="0"/>
        <w:contextualSpacing w:val="false"/>
      </w:pPr>
      <w:r>
        <w:rPr/>
      </w:r>
    </w:p>
    <w:p>
      <w:pPr>
        <w:pStyle w:val="style39"/>
        <w:numPr>
          <w:ilvl w:val="3"/>
          <w:numId w:val="9"/>
        </w:numPr>
        <w:spacing w:after="0" w:before="0"/>
        <w:ind w:hanging="360" w:left="426" w:right="0"/>
        <w:contextualSpacing w:val="false"/>
      </w:pPr>
      <w:bookmarkStart w:id="92" w:name="_Toc273277777"/>
      <w:bookmarkStart w:id="93" w:name="_Toc273265398"/>
      <w:bookmarkStart w:id="94" w:name="_Toc273265260"/>
      <w:bookmarkStart w:id="95" w:name="_Toc273265036"/>
      <w:bookmarkStart w:id="96" w:name="_Toc183345843"/>
      <w:bookmarkStart w:id="97" w:name="_Toc183324555"/>
      <w:r>
        <w:rPr>
          <w:rFonts w:cs="Arial"/>
          <w:b/>
          <w:sz w:val="24"/>
          <w:szCs w:val="24"/>
        </w:rPr>
        <w:t xml:space="preserve">  </w:t>
      </w:r>
      <w:bookmarkEnd w:id="92"/>
      <w:bookmarkEnd w:id="93"/>
      <w:bookmarkEnd w:id="94"/>
      <w:bookmarkEnd w:id="95"/>
      <w:bookmarkEnd w:id="96"/>
      <w:bookmarkEnd w:id="97"/>
      <w:r>
        <w:rPr>
          <w:rFonts w:cs="Arial"/>
          <w:b/>
          <w:sz w:val="24"/>
          <w:szCs w:val="24"/>
        </w:rPr>
        <w:t>OUTRAS CONSIDERAÇÕES SOBRE INFRAÇÕES</w:t>
      </w:r>
    </w:p>
    <w:p>
      <w:pPr>
        <w:pStyle w:val="style39"/>
        <w:spacing w:after="0" w:before="0"/>
        <w:ind w:hanging="0" w:left="426" w:right="0"/>
        <w:contextualSpacing w:val="false"/>
      </w:pPr>
      <w:r>
        <w:rPr/>
      </w:r>
    </w:p>
    <w:p>
      <w:pPr>
        <w:pStyle w:val="style39"/>
        <w:spacing w:after="0" w:before="0"/>
        <w:ind w:hanging="0" w:left="0" w:right="0"/>
        <w:contextualSpacing w:val="false"/>
      </w:pPr>
      <w:r>
        <w:rPr>
          <w:rFonts w:cs="Arial"/>
          <w:sz w:val="24"/>
          <w:szCs w:val="24"/>
        </w:rPr>
        <w:tab/>
        <w:t>Cometidas, simultaneamente, duas ou mais infrações, aplicar-se-á a penalidade correspondente a cada uma delas.</w:t>
      </w:r>
    </w:p>
    <w:p>
      <w:pPr>
        <w:pStyle w:val="style39"/>
        <w:spacing w:after="0" w:before="0"/>
        <w:ind w:hanging="0" w:left="0" w:right="0"/>
        <w:contextualSpacing w:val="false"/>
      </w:pPr>
      <w:r>
        <w:rPr>
          <w:rFonts w:cs="Arial"/>
          <w:sz w:val="24"/>
          <w:szCs w:val="24"/>
        </w:rPr>
        <w:tab/>
        <w:t>Havendo reincidência, quando a mesma infração for cometida pela Contratada no período de 2 (dois) meses, a pena pecuniária correspondente será acrescida de mais 5 % (cinco), sobre o valor estabelecido.</w:t>
      </w:r>
    </w:p>
    <w:p>
      <w:pPr>
        <w:pStyle w:val="style39"/>
        <w:spacing w:after="0" w:before="0"/>
        <w:ind w:hanging="0" w:left="0" w:right="0"/>
        <w:contextualSpacing w:val="false"/>
      </w:pPr>
      <w:r>
        <w:rPr>
          <w:rFonts w:cs="Arial"/>
          <w:sz w:val="24"/>
          <w:szCs w:val="24"/>
        </w:rPr>
        <w:tab/>
        <w:t>Autuada a infração a Contratada será formalmente notificada e receberá a segunda via do auto de infração em até 2 (dois) dias.</w:t>
      </w:r>
    </w:p>
    <w:p>
      <w:pPr>
        <w:pStyle w:val="style39"/>
        <w:spacing w:after="0" w:before="0"/>
        <w:ind w:hanging="0" w:left="0" w:right="0"/>
        <w:contextualSpacing w:val="false"/>
      </w:pPr>
      <w:r>
        <w:rPr>
          <w:rFonts w:cs="Arial"/>
          <w:sz w:val="24"/>
          <w:szCs w:val="24"/>
        </w:rPr>
        <w:tab/>
        <w:t>De cada infração caberá recurso, a ser interposto no prazo de 05 (cinco) dias úteis, a contar da notificação, com efeito suspensivo.</w:t>
      </w:r>
    </w:p>
    <w:p>
      <w:pPr>
        <w:pStyle w:val="style39"/>
        <w:spacing w:after="0" w:before="0"/>
        <w:ind w:hanging="0" w:left="0" w:right="0"/>
        <w:contextualSpacing w:val="false"/>
      </w:pPr>
      <w:r>
        <w:rPr>
          <w:rFonts w:cs="Arial"/>
          <w:sz w:val="24"/>
          <w:szCs w:val="24"/>
        </w:rPr>
        <w:tab/>
        <w:t>Os recursos de infrações serão julgados por Comissão designada pelo Fundo Municipal de Saúde, com número mínimo de 2 (dois) membros efetivos e igual número de suplentes;</w:t>
      </w:r>
    </w:p>
    <w:p>
      <w:pPr>
        <w:pStyle w:val="style39"/>
        <w:spacing w:after="0" w:before="0"/>
        <w:ind w:hanging="0" w:left="0" w:right="0"/>
        <w:contextualSpacing w:val="false"/>
      </w:pPr>
      <w:r>
        <w:rPr>
          <w:rFonts w:cs="Arial"/>
          <w:sz w:val="24"/>
          <w:szCs w:val="24"/>
        </w:rPr>
        <w:tab/>
        <w:t xml:space="preserve">Da decisão denegatória da Comissão cabe recurso a </w:t>
      </w:r>
      <w:bookmarkStart w:id="98" w:name="Texto102"/>
      <w:r>
        <w:rPr>
          <w:rFonts w:cs="Arial"/>
          <w:sz w:val="24"/>
          <w:szCs w:val="24"/>
        </w:rPr>
        <w:t>autoridade máxima do Município</w:t>
      </w:r>
      <w:bookmarkEnd w:id="98"/>
      <w:r>
        <w:rPr>
          <w:rFonts w:cs="Arial"/>
          <w:sz w:val="24"/>
          <w:szCs w:val="24"/>
        </w:rPr>
        <w:t>, ainda com efeito suspensivo além de obrigatoriedade de caução, correspondente ao valor da multa, no prazo de 5 (cinco) dias, a contar do conhecimento da denegação recurso.</w:t>
      </w:r>
    </w:p>
    <w:p>
      <w:pPr>
        <w:pStyle w:val="style39"/>
        <w:spacing w:after="0" w:before="0"/>
        <w:ind w:hanging="0" w:left="0" w:right="0"/>
        <w:contextualSpacing w:val="false"/>
      </w:pPr>
      <w:r>
        <w:rPr>
          <w:rFonts w:cs="Arial"/>
          <w:sz w:val="24"/>
          <w:szCs w:val="24"/>
        </w:rPr>
        <w:tab/>
        <w:t>A Contratada terá o prazo de 5 (cinco) dias para o pagamento da multa, contados do recebimento da notificação da aplicação da mesma, se não houver apresentado recurso no prazo estabelecido, ou do trânsito em julgado do recurso interposto;</w:t>
      </w:r>
    </w:p>
    <w:p>
      <w:pPr>
        <w:pStyle w:val="style39"/>
        <w:spacing w:after="0" w:before="0"/>
        <w:ind w:hanging="0" w:left="0" w:right="0"/>
        <w:contextualSpacing w:val="false"/>
      </w:pPr>
      <w:r>
        <w:rPr>
          <w:rFonts w:cs="Arial"/>
          <w:sz w:val="24"/>
          <w:szCs w:val="24"/>
        </w:rPr>
        <w:tab/>
        <w:t>A autuação da infração não desobriga à Contratada de sanar imediatamente a falta que lhe deu origem.</w:t>
      </w:r>
    </w:p>
    <w:p>
      <w:pPr>
        <w:pStyle w:val="style39"/>
        <w:spacing w:after="0" w:before="0"/>
        <w:ind w:hanging="0" w:left="0" w:right="0"/>
        <w:contextualSpacing w:val="false"/>
      </w:pPr>
      <w:r>
        <w:rPr/>
      </w:r>
    </w:p>
    <w:p>
      <w:pPr>
        <w:pStyle w:val="style39"/>
        <w:spacing w:after="0" w:before="0"/>
        <w:ind w:hanging="0" w:left="0" w:right="0"/>
        <w:contextualSpacing w:val="false"/>
      </w:pPr>
      <w:r>
        <w:rPr>
          <w:rFonts w:cs="Arial"/>
          <w:b/>
          <w:sz w:val="24"/>
          <w:szCs w:val="24"/>
        </w:rPr>
        <w:t xml:space="preserve">18.  </w:t>
      </w:r>
      <w:bookmarkStart w:id="99" w:name="_Toc79806220"/>
      <w:bookmarkStart w:id="100" w:name="_Toc183324556"/>
      <w:bookmarkStart w:id="101" w:name="_Toc183345844"/>
      <w:bookmarkStart w:id="102" w:name="_Toc273265037"/>
      <w:bookmarkStart w:id="103" w:name="_Toc273265261"/>
      <w:bookmarkStart w:id="104" w:name="_Toc273265399"/>
      <w:bookmarkStart w:id="105" w:name="_Toc273277778"/>
      <w:bookmarkEnd w:id="99"/>
      <w:bookmarkEnd w:id="100"/>
      <w:bookmarkEnd w:id="101"/>
      <w:bookmarkEnd w:id="102"/>
      <w:bookmarkEnd w:id="103"/>
      <w:bookmarkEnd w:id="104"/>
      <w:bookmarkEnd w:id="105"/>
      <w:r>
        <w:rPr>
          <w:rFonts w:cs="Arial"/>
          <w:b/>
          <w:sz w:val="24"/>
          <w:szCs w:val="24"/>
        </w:rPr>
        <w:t>PLANTAS, PLANILHAS E RELATÓRIO QUE COMPÕE O PROJETO</w:t>
      </w:r>
    </w:p>
    <w:p>
      <w:pPr>
        <w:pStyle w:val="style39"/>
        <w:spacing w:after="0" w:before="0"/>
        <w:ind w:hanging="0" w:left="284" w:right="0"/>
        <w:contextualSpacing w:val="false"/>
        <w:jc w:val="left"/>
      </w:pPr>
      <w:r>
        <w:rPr/>
      </w:r>
    </w:p>
    <w:p>
      <w:pPr>
        <w:pStyle w:val="style39"/>
        <w:numPr>
          <w:ilvl w:val="0"/>
          <w:numId w:val="10"/>
        </w:numPr>
        <w:spacing w:after="0" w:before="0"/>
        <w:contextualSpacing w:val="false"/>
      </w:pPr>
      <w:r>
        <w:rPr>
          <w:rFonts w:cs="Arial"/>
          <w:sz w:val="24"/>
          <w:szCs w:val="24"/>
        </w:rPr>
        <w:t>Memorial Descritivo;</w:t>
      </w:r>
    </w:p>
    <w:p>
      <w:pPr>
        <w:pStyle w:val="style39"/>
        <w:numPr>
          <w:ilvl w:val="0"/>
          <w:numId w:val="10"/>
        </w:numPr>
        <w:spacing w:after="0" w:before="0"/>
        <w:contextualSpacing w:val="false"/>
      </w:pPr>
      <w:r>
        <w:rPr>
          <w:rFonts w:cs="Arial"/>
          <w:sz w:val="24"/>
          <w:szCs w:val="24"/>
        </w:rPr>
        <w:t>Orçamento Sintético;</w:t>
      </w:r>
    </w:p>
    <w:p>
      <w:pPr>
        <w:pStyle w:val="style39"/>
        <w:numPr>
          <w:ilvl w:val="0"/>
          <w:numId w:val="10"/>
        </w:numPr>
        <w:spacing w:after="0" w:before="0"/>
        <w:contextualSpacing w:val="false"/>
      </w:pPr>
      <w:r>
        <w:rPr>
          <w:rFonts w:cs="Arial"/>
          <w:sz w:val="24"/>
          <w:szCs w:val="24"/>
        </w:rPr>
        <w:t>Orçamento Analítico;</w:t>
      </w:r>
    </w:p>
    <w:p>
      <w:pPr>
        <w:pStyle w:val="style39"/>
        <w:numPr>
          <w:ilvl w:val="0"/>
          <w:numId w:val="10"/>
        </w:numPr>
        <w:spacing w:after="0" w:before="0"/>
        <w:contextualSpacing w:val="false"/>
      </w:pPr>
      <w:r>
        <w:rPr>
          <w:rFonts w:cs="Arial"/>
          <w:sz w:val="24"/>
          <w:szCs w:val="24"/>
        </w:rPr>
        <w:t>Cronograma físico-financeiro</w:t>
      </w:r>
    </w:p>
    <w:p>
      <w:pPr>
        <w:pStyle w:val="style39"/>
        <w:numPr>
          <w:ilvl w:val="0"/>
          <w:numId w:val="10"/>
        </w:numPr>
        <w:spacing w:after="0" w:before="0"/>
        <w:contextualSpacing w:val="false"/>
      </w:pPr>
      <w:r>
        <w:rPr>
          <w:rFonts w:cs="Arial"/>
          <w:sz w:val="24"/>
          <w:szCs w:val="24"/>
        </w:rPr>
        <w:t>Memóriais de Cálculo;</w:t>
      </w:r>
    </w:p>
    <w:p>
      <w:pPr>
        <w:pStyle w:val="style39"/>
        <w:numPr>
          <w:ilvl w:val="0"/>
          <w:numId w:val="10"/>
        </w:numPr>
        <w:spacing w:after="0" w:before="0"/>
        <w:contextualSpacing w:val="false"/>
      </w:pPr>
      <w:r>
        <w:rPr>
          <w:rFonts w:cs="Arial"/>
          <w:sz w:val="24"/>
          <w:szCs w:val="24"/>
        </w:rPr>
        <w:t>Composição de BDI (Benefícios e despesas indiretas);</w:t>
      </w:r>
    </w:p>
    <w:p>
      <w:pPr>
        <w:pStyle w:val="style39"/>
        <w:numPr>
          <w:ilvl w:val="0"/>
          <w:numId w:val="10"/>
        </w:numPr>
        <w:spacing w:after="0" w:before="0"/>
        <w:contextualSpacing w:val="false"/>
      </w:pPr>
      <w:r>
        <w:rPr>
          <w:rFonts w:cs="Arial"/>
          <w:sz w:val="24"/>
          <w:szCs w:val="24"/>
        </w:rPr>
        <w:t>Projetos de arquitetura e complementares se necessário ;</w:t>
      </w:r>
    </w:p>
    <w:p>
      <w:pPr>
        <w:pStyle w:val="style39"/>
        <w:spacing w:after="0" w:before="0"/>
        <w:contextualSpacing w:val="false"/>
      </w:pPr>
      <w:r>
        <w:rPr/>
      </w:r>
    </w:p>
    <w:p>
      <w:pPr>
        <w:pStyle w:val="style39"/>
        <w:spacing w:after="0" w:before="0"/>
        <w:contextualSpacing w:val="false"/>
      </w:pPr>
      <w:r>
        <w:rPr/>
      </w:r>
    </w:p>
    <w:p>
      <w:pPr>
        <w:pStyle w:val="style39"/>
        <w:spacing w:after="0" w:before="0"/>
        <w:ind w:hanging="0" w:left="142" w:right="0"/>
        <w:contextualSpacing w:val="false"/>
      </w:pPr>
      <w:r>
        <w:rPr>
          <w:rFonts w:cs="Arial"/>
          <w:b/>
          <w:sz w:val="24"/>
          <w:szCs w:val="24"/>
        </w:rPr>
        <w:t>19.   DAS DEFINIÇÕES GERAIS:</w:t>
      </w:r>
    </w:p>
    <w:p>
      <w:pPr>
        <w:pStyle w:val="style39"/>
        <w:spacing w:after="0" w:before="0"/>
        <w:ind w:hanging="0" w:left="142" w:right="0"/>
        <w:contextualSpacing w:val="false"/>
      </w:pPr>
      <w:r>
        <w:rPr/>
      </w:r>
    </w:p>
    <w:p>
      <w:pPr>
        <w:pStyle w:val="style39"/>
        <w:spacing w:after="0" w:before="0"/>
        <w:ind w:hanging="0" w:left="0" w:right="0"/>
        <w:contextualSpacing w:val="false"/>
      </w:pPr>
      <w:r>
        <w:rPr>
          <w:rFonts w:cs="Arial"/>
          <w:sz w:val="24"/>
          <w:szCs w:val="24"/>
        </w:rPr>
        <w:tab/>
        <w:t>CONTRATANTE: PREFEITURA MUNICIPAL DE ITABORAÍ</w:t>
      </w:r>
    </w:p>
    <w:p>
      <w:pPr>
        <w:pStyle w:val="style39"/>
        <w:spacing w:after="0" w:before="0"/>
        <w:ind w:hanging="0" w:left="0" w:right="0"/>
        <w:contextualSpacing w:val="false"/>
      </w:pPr>
      <w:r>
        <w:rPr>
          <w:rFonts w:cs="Arial"/>
          <w:sz w:val="24"/>
          <w:szCs w:val="24"/>
        </w:rPr>
        <w:tab/>
        <w:t>CONTRATADA: EMPRESA VENCEDORA DO CERTAME LICITATÓRIO.</w:t>
      </w:r>
    </w:p>
    <w:p>
      <w:pPr>
        <w:pStyle w:val="style39"/>
        <w:spacing w:after="0" w:before="0"/>
        <w:ind w:hanging="0" w:left="0" w:right="0"/>
        <w:contextualSpacing w:val="false"/>
      </w:pPr>
      <w:r>
        <w:rPr>
          <w:rFonts w:cs="Arial"/>
          <w:sz w:val="24"/>
          <w:szCs w:val="24"/>
        </w:rPr>
        <w:tab/>
        <w:t>Fiscal de Contrato – preposto designado pela CONTRATANTE, sendo profissional devidamente habilitado, engenheiro civil ou arquiteto, inerente a acompanhar o objeto contratado, para exercer a fiscalização do contrato.</w:t>
      </w:r>
    </w:p>
    <w:p>
      <w:pPr>
        <w:pStyle w:val="style39"/>
        <w:spacing w:after="0" w:before="0"/>
        <w:ind w:hanging="0" w:left="0" w:right="0"/>
        <w:contextualSpacing w:val="false"/>
      </w:pPr>
      <w:r>
        <w:rPr>
          <w:rFonts w:cs="Arial"/>
          <w:sz w:val="24"/>
          <w:szCs w:val="24"/>
        </w:rPr>
        <w:tab/>
        <w:t>Planilha Orçamentária – Documento integrante deste ato, que servirá de base para elaboração dos mapas de medição e acompanhamento dos serviços, não se admitindo na mesma, preços irrisórios ou inexequíveis de acordo com o prescrito no art.° 48 da Lei 8666/93.</w:t>
      </w:r>
    </w:p>
    <w:p>
      <w:pPr>
        <w:pStyle w:val="style39"/>
        <w:spacing w:after="0" w:before="0"/>
        <w:ind w:hanging="0" w:left="0" w:right="0"/>
        <w:contextualSpacing w:val="false"/>
      </w:pPr>
      <w:r>
        <w:rPr>
          <w:rFonts w:cs="Arial"/>
          <w:sz w:val="24"/>
          <w:szCs w:val="24"/>
        </w:rPr>
        <w:tab/>
        <w:t xml:space="preserve">Diário de Obras: Livro para apontamentos diários de </w:t>
      </w:r>
      <w:r>
        <w:rPr>
          <w:rFonts w:cs="Arial"/>
          <w:color w:val="000000"/>
          <w:sz w:val="24"/>
          <w:szCs w:val="24"/>
        </w:rPr>
        <w:t>ocorrências relativas à execução contrato que vier a ser celebrado, determinando a Contratada, formalmente, o que for necessário à regularização das faltas ou defeitos observados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spacing w:line="360" w:lineRule="auto"/>
        <w:jc w:val="center"/>
      </w:pPr>
      <w:r>
        <w:rPr/>
      </w:r>
    </w:p>
    <w:p>
      <w:pPr>
        <w:pStyle w:val="style0"/>
        <w:spacing w:line="360" w:lineRule="auto"/>
        <w:jc w:val="both"/>
      </w:pPr>
      <w:r>
        <w:rPr/>
      </w:r>
    </w:p>
    <w:p>
      <w:pPr>
        <w:pStyle w:val="style0"/>
        <w:spacing w:line="360" w:lineRule="auto"/>
        <w:jc w:val="both"/>
      </w:pPr>
      <w:r>
        <w:rPr/>
      </w:r>
    </w:p>
    <w:p>
      <w:pPr>
        <w:pStyle w:val="style0"/>
        <w:spacing w:line="360" w:lineRule="auto"/>
        <w:jc w:val="both"/>
      </w:pPr>
      <w:r>
        <w:rPr/>
      </w:r>
    </w:p>
    <w:p>
      <w:pPr>
        <w:pStyle w:val="style0"/>
        <w:jc w:val="center"/>
      </w:pPr>
      <w:r>
        <w:rPr/>
      </w:r>
    </w:p>
    <w:sectPr>
      <w:headerReference r:id="rId2" w:type="default"/>
      <w:type w:val="nextPage"/>
      <w:pgSz w:h="16838" w:w="11906"/>
      <w:pgMar w:bottom="1417" w:footer="0" w:gutter="0" w:header="467" w:left="1701" w:right="1701" w:top="226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pPr>
    <w:r>
      <w:rPr/>
      <w:drawing>
        <wp:anchor allowOverlap="1" behindDoc="0" distB="0" distL="0" distR="0" distT="0" layoutInCell="1" locked="0" relativeHeight="19" simplePos="0">
          <wp:simplePos x="0" y="0"/>
          <wp:positionH relativeFrom="character">
            <wp:posOffset>-111760</wp:posOffset>
          </wp:positionH>
          <wp:positionV relativeFrom="line">
            <wp:posOffset>-95885</wp:posOffset>
          </wp:positionV>
          <wp:extent cx="854710" cy="922020"/>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854710" cy="922020"/>
                  </a:xfrm>
                  <a:prstGeom prst="rect">
                    <a:avLst/>
                  </a:prstGeom>
                  <a:noFill/>
                  <a:ln w="9525">
                    <a:noFill/>
                    <a:miter lim="800000"/>
                    <a:headEnd/>
                    <a:tailEnd/>
                  </a:ln>
                </pic:spPr>
              </pic:pic>
            </a:graphicData>
          </a:graphic>
        </wp:anchor>
      </w:drawing>
    </w:r>
  </w:p>
  <w:p>
    <w:pPr>
      <w:pStyle w:val="style0"/>
    </w:pPr>
    <w:r>
      <w:rPr>
        <w:rFonts w:ascii="Calibri" w:cs="Calibri" w:hAnsi="Calibri"/>
        <w:b/>
        <w:bCs/>
        <w:sz w:val="16"/>
        <w:szCs w:val="16"/>
      </w:rPr>
      <w:t>PMI/RJ</w:t>
    </w:r>
  </w:p>
  <w:p>
    <w:pPr>
      <w:pStyle w:val="style0"/>
    </w:pPr>
    <w:r>
      <w:rPr>
        <w:rFonts w:ascii="Calibri" w:cs="Calibri" w:hAnsi="Calibri"/>
        <w:sz w:val="16"/>
        <w:szCs w:val="16"/>
      </w:rPr>
      <w:t xml:space="preserve">Processo Nº </w:t>
    </w:r>
    <w:r>
      <w:rPr>
        <w:rFonts w:ascii="Calibri" w:cs="Calibri" w:hAnsi="Calibri"/>
        <w:sz w:val="20"/>
      </w:rPr>
      <w:t xml:space="preserve"> 1380/</w:t>
    </w:r>
    <w:r>
      <w:rPr>
        <w:rFonts w:ascii="Calibri" w:cs="Calibri" w:hAnsi="Calibri"/>
        <w:sz w:val="20"/>
        <w:szCs w:val="20"/>
      </w:rPr>
      <w:t>19</w:t>
    </w:r>
  </w:p>
  <w:p>
    <w:pPr>
      <w:pStyle w:val="style0"/>
    </w:pPr>
    <w:r>
      <w:rPr>
        <w:rFonts w:ascii="Calibri" w:cs="Calibri" w:hAnsi="Calibri"/>
        <w:sz w:val="12"/>
        <w:szCs w:val="12"/>
      </w:rPr>
    </w:r>
  </w:p>
  <w:p>
    <w:pPr>
      <w:pStyle w:val="style0"/>
    </w:pPr>
    <w:r>
      <w:rPr>
        <w:rFonts w:ascii="Calibri" w:cs="Calibri" w:hAnsi="Calibri"/>
        <w:sz w:val="16"/>
        <w:szCs w:val="16"/>
      </w:rPr>
      <w:t>Rubrica: ________ Fls. ____</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tabs>
          <w:tab w:pos="360" w:val="num"/>
        </w:tabs>
        <w:ind w:hanging="360" w:left="360"/>
      </w:pPr>
      <w:rPr>
        <w:b/>
      </w:rPr>
    </w:lvl>
    <w:lvl w:ilvl="1">
      <w:start w:val="1"/>
      <w:numFmt w:val="decimal"/>
      <w:lvlText w:val="%1.%2."/>
      <w:lvlJc w:val="left"/>
      <w:pPr>
        <w:tabs>
          <w:tab w:pos="432" w:val="num"/>
        </w:tabs>
        <w:ind w:hanging="432" w:left="432"/>
      </w:pPr>
    </w:lvl>
    <w:lvl w:ilvl="2">
      <w:start w:val="1"/>
      <w:numFmt w:val="decimal"/>
      <w:lvlText w:val="%1.%2.%3."/>
      <w:lvlJc w:val="left"/>
      <w:pPr>
        <w:tabs>
          <w:tab w:pos="1004" w:val="num"/>
        </w:tabs>
        <w:ind w:hanging="504" w:left="788"/>
      </w:pPr>
    </w:lvl>
    <w:lvl w:ilvl="3">
      <w:start w:val="1"/>
      <w:numFmt w:val="decimal"/>
      <w:lvlText w:val="%1.%2.%3.%4."/>
      <w:lvlJc w:val="left"/>
      <w:pPr>
        <w:tabs>
          <w:tab w:pos="1800" w:val="num"/>
        </w:tabs>
        <w:ind w:hanging="648" w:left="1728"/>
      </w:pPr>
    </w:lvl>
    <w:lvl w:ilvl="4">
      <w:start w:val="1"/>
      <w:numFmt w:val="decimal"/>
      <w:lvlText w:val="%1.%2.%3.%4.%5."/>
      <w:lvlJc w:val="left"/>
      <w:pPr>
        <w:tabs>
          <w:tab w:pos="1080" w:val="num"/>
        </w:tabs>
        <w:ind w:hanging="792" w:left="792"/>
      </w:pPr>
    </w:lvl>
    <w:lvl w:ilvl="5">
      <w:start w:val="1"/>
      <w:numFmt w:val="decimal"/>
      <w:lvlText w:val="%1.%2.%3.%4.%5.%6."/>
      <w:lvlJc w:val="left"/>
      <w:pPr>
        <w:tabs>
          <w:tab w:pos="2880" w:val="num"/>
        </w:tabs>
        <w:ind w:hanging="936" w:left="2736"/>
      </w:pPr>
    </w:lvl>
    <w:lvl w:ilvl="6">
      <w:start w:val="1"/>
      <w:numFmt w:val="decimal"/>
      <w:lvlText w:val="%1.%2.%3.%4.%5.%6.%7."/>
      <w:lvlJc w:val="left"/>
      <w:pPr>
        <w:tabs>
          <w:tab w:pos="3600" w:val="num"/>
        </w:tabs>
        <w:ind w:hanging="1080" w:left="3240"/>
      </w:pPr>
    </w:lvl>
    <w:lvl w:ilvl="7">
      <w:start w:val="1"/>
      <w:numFmt w:val="decimal"/>
      <w:lvlText w:val="%1.%2.%3.%4.%5.%6.%7.%8."/>
      <w:lvlJc w:val="left"/>
      <w:pPr>
        <w:tabs>
          <w:tab w:pos="3960" w:val="num"/>
        </w:tabs>
        <w:ind w:hanging="1224" w:left="3744"/>
      </w:pPr>
    </w:lvl>
    <w:lvl w:ilvl="8">
      <w:start w:val="1"/>
      <w:numFmt w:val="decimal"/>
      <w:lvlText w:val="%1.%2.%3.%4.%5.%6.%7.%8.%9."/>
      <w:lvlJc w:val="left"/>
      <w:pPr>
        <w:tabs>
          <w:tab w:pos="4680" w:val="num"/>
        </w:tabs>
        <w:ind w:hanging="1440" w:left="4320"/>
      </w:pPr>
    </w:lvl>
  </w:abstractNum>
  <w:abstractNum w:abstractNumId="3">
    <w:lvl w:ilvl="0">
      <w:start w:val="1"/>
      <w:numFmt w:val="lowerLetter"/>
      <w:lvlText w:val="%1)"/>
      <w:lvlJc w:val="left"/>
      <w:pPr>
        <w:tabs>
          <w:tab w:pos="1004" w:val="num"/>
        </w:tabs>
        <w:ind w:hanging="360" w:left="1004"/>
      </w:pPr>
    </w:lvl>
    <w:lvl w:ilvl="1">
      <w:start w:val="1"/>
      <w:numFmt w:val="lowerLetter"/>
      <w:lvlText w:val="%2."/>
      <w:lvlJc w:val="left"/>
      <w:pPr>
        <w:tabs>
          <w:tab w:pos="1724" w:val="num"/>
        </w:tabs>
        <w:ind w:hanging="360" w:left="1724"/>
      </w:pPr>
    </w:lvl>
    <w:lvl w:ilvl="2">
      <w:start w:val="1"/>
      <w:numFmt w:val="lowerRoman"/>
      <w:lvlText w:val="%3."/>
      <w:lvlJc w:val="right"/>
      <w:pPr>
        <w:tabs>
          <w:tab w:pos="2444" w:val="num"/>
        </w:tabs>
        <w:ind w:hanging="180" w:left="2444"/>
      </w:pPr>
    </w:lvl>
    <w:lvl w:ilvl="3">
      <w:start w:val="1"/>
      <w:numFmt w:val="decimal"/>
      <w:lvlText w:val="%4."/>
      <w:lvlJc w:val="left"/>
      <w:pPr>
        <w:tabs>
          <w:tab w:pos="3164" w:val="num"/>
        </w:tabs>
        <w:ind w:hanging="360" w:left="3164"/>
      </w:pPr>
    </w:lvl>
    <w:lvl w:ilvl="4">
      <w:start w:val="1"/>
      <w:numFmt w:val="lowerLetter"/>
      <w:lvlText w:val="%5."/>
      <w:lvlJc w:val="left"/>
      <w:pPr>
        <w:tabs>
          <w:tab w:pos="3884" w:val="num"/>
        </w:tabs>
        <w:ind w:hanging="360" w:left="3884"/>
      </w:pPr>
    </w:lvl>
    <w:lvl w:ilvl="5">
      <w:start w:val="1"/>
      <w:numFmt w:val="lowerRoman"/>
      <w:lvlText w:val="%6."/>
      <w:lvlJc w:val="right"/>
      <w:pPr>
        <w:tabs>
          <w:tab w:pos="4604" w:val="num"/>
        </w:tabs>
        <w:ind w:hanging="180" w:left="4604"/>
      </w:pPr>
    </w:lvl>
    <w:lvl w:ilvl="6">
      <w:start w:val="1"/>
      <w:numFmt w:val="decimal"/>
      <w:lvlText w:val="%7."/>
      <w:lvlJc w:val="left"/>
      <w:pPr>
        <w:tabs>
          <w:tab w:pos="5324" w:val="num"/>
        </w:tabs>
        <w:ind w:hanging="360" w:left="5324"/>
      </w:pPr>
    </w:lvl>
    <w:lvl w:ilvl="7">
      <w:start w:val="1"/>
      <w:numFmt w:val="lowerLetter"/>
      <w:lvlText w:val="%8."/>
      <w:lvlJc w:val="left"/>
      <w:pPr>
        <w:tabs>
          <w:tab w:pos="6044" w:val="num"/>
        </w:tabs>
        <w:ind w:hanging="360" w:left="6044"/>
      </w:pPr>
    </w:lvl>
    <w:lvl w:ilvl="8">
      <w:start w:val="1"/>
      <w:numFmt w:val="lowerRoman"/>
      <w:lvlText w:val="%9."/>
      <w:lvlJc w:val="right"/>
      <w:pPr>
        <w:tabs>
          <w:tab w:pos="6764" w:val="num"/>
        </w:tabs>
        <w:ind w:hanging="180" w:left="6764"/>
      </w:pPr>
    </w:lvl>
  </w:abstractNum>
  <w:abstractNum w:abstractNumId="4">
    <w:lvl w:ilvl="0">
      <w:start w:val="1"/>
      <w:numFmt w:val="bullet"/>
      <w:lvlText w:val=""/>
      <w:lvlJc w:val="left"/>
      <w:pPr>
        <w:ind w:hanging="360" w:left="1731"/>
      </w:pPr>
      <w:rPr>
        <w:rFonts w:ascii="Symbol" w:cs="Symbol" w:hAnsi="Symbol" w:hint="default"/>
      </w:rPr>
    </w:lvl>
    <w:lvl w:ilvl="1">
      <w:start w:val="1"/>
      <w:numFmt w:val="bullet"/>
      <w:lvlText w:val="o"/>
      <w:lvlJc w:val="left"/>
      <w:pPr>
        <w:ind w:hanging="360" w:left="2451"/>
      </w:pPr>
      <w:rPr>
        <w:rFonts w:ascii="Courier New" w:cs="Courier New" w:hAnsi="Courier New" w:hint="default"/>
      </w:rPr>
    </w:lvl>
    <w:lvl w:ilvl="2">
      <w:start w:val="1"/>
      <w:numFmt w:val="bullet"/>
      <w:lvlText w:val=""/>
      <w:lvlJc w:val="left"/>
      <w:pPr>
        <w:ind w:hanging="360" w:left="3171"/>
      </w:pPr>
      <w:rPr>
        <w:rFonts w:ascii="Wingdings" w:cs="Wingdings" w:hAnsi="Wingdings" w:hint="default"/>
      </w:rPr>
    </w:lvl>
    <w:lvl w:ilvl="3">
      <w:start w:val="1"/>
      <w:numFmt w:val="bullet"/>
      <w:lvlText w:val=""/>
      <w:lvlJc w:val="left"/>
      <w:pPr>
        <w:ind w:hanging="360" w:left="3891"/>
      </w:pPr>
      <w:rPr>
        <w:rFonts w:ascii="Symbol" w:cs="Symbol" w:hAnsi="Symbol" w:hint="default"/>
      </w:rPr>
    </w:lvl>
    <w:lvl w:ilvl="4">
      <w:start w:val="1"/>
      <w:numFmt w:val="bullet"/>
      <w:lvlText w:val="o"/>
      <w:lvlJc w:val="left"/>
      <w:pPr>
        <w:ind w:hanging="360" w:left="4611"/>
      </w:pPr>
      <w:rPr>
        <w:rFonts w:ascii="Courier New" w:cs="Courier New" w:hAnsi="Courier New" w:hint="default"/>
      </w:rPr>
    </w:lvl>
    <w:lvl w:ilvl="5">
      <w:start w:val="1"/>
      <w:numFmt w:val="bullet"/>
      <w:lvlText w:val=""/>
      <w:lvlJc w:val="left"/>
      <w:pPr>
        <w:ind w:hanging="360" w:left="5331"/>
      </w:pPr>
      <w:rPr>
        <w:rFonts w:ascii="Wingdings" w:cs="Wingdings" w:hAnsi="Wingdings" w:hint="default"/>
      </w:rPr>
    </w:lvl>
    <w:lvl w:ilvl="6">
      <w:start w:val="1"/>
      <w:numFmt w:val="bullet"/>
      <w:lvlText w:val=""/>
      <w:lvlJc w:val="left"/>
      <w:pPr>
        <w:ind w:hanging="360" w:left="6051"/>
      </w:pPr>
      <w:rPr>
        <w:rFonts w:ascii="Symbol" w:cs="Symbol" w:hAnsi="Symbol" w:hint="default"/>
      </w:rPr>
    </w:lvl>
    <w:lvl w:ilvl="7">
      <w:start w:val="1"/>
      <w:numFmt w:val="bullet"/>
      <w:lvlText w:val="o"/>
      <w:lvlJc w:val="left"/>
      <w:pPr>
        <w:ind w:hanging="360" w:left="6771"/>
      </w:pPr>
      <w:rPr>
        <w:rFonts w:ascii="Courier New" w:cs="Courier New" w:hAnsi="Courier New" w:hint="default"/>
      </w:rPr>
    </w:lvl>
    <w:lvl w:ilvl="8">
      <w:start w:val="1"/>
      <w:numFmt w:val="bullet"/>
      <w:lvlText w:val=""/>
      <w:lvlJc w:val="left"/>
      <w:pPr>
        <w:ind w:hanging="360" w:left="7491"/>
      </w:pPr>
      <w:rPr>
        <w:rFonts w:ascii="Wingdings" w:cs="Wingdings" w:hAnsi="Wingdings" w:hint="default"/>
      </w:rPr>
    </w:lvl>
  </w:abstractNum>
  <w:abstractNum w:abstractNumId="5">
    <w:lvl w:ilvl="0">
      <w:start w:val="1"/>
      <w:numFmt w:val="bullet"/>
      <w:lvlText w:val=""/>
      <w:lvlJc w:val="left"/>
      <w:pPr>
        <w:ind w:hanging="360" w:left="1800"/>
      </w:pPr>
      <w:rPr>
        <w:rFonts w:ascii="Symbol" w:cs="Symbol" w:hAnsi="Symbol" w:hint="default"/>
      </w:rPr>
    </w:lvl>
    <w:lvl w:ilvl="1">
      <w:start w:val="1"/>
      <w:numFmt w:val="bullet"/>
      <w:lvlText w:val="o"/>
      <w:lvlJc w:val="left"/>
      <w:pPr>
        <w:ind w:hanging="360" w:left="2520"/>
      </w:pPr>
      <w:rPr>
        <w:rFonts w:ascii="Courier New" w:cs="Courier New" w:hAnsi="Courier New" w:hint="default"/>
      </w:rPr>
    </w:lvl>
    <w:lvl w:ilvl="2">
      <w:start w:val="1"/>
      <w:numFmt w:val="bullet"/>
      <w:lvlText w:val=""/>
      <w:lvlJc w:val="left"/>
      <w:pPr>
        <w:ind w:hanging="360" w:left="3240"/>
      </w:pPr>
      <w:rPr>
        <w:rFonts w:ascii="Wingdings" w:cs="Wingdings" w:hAnsi="Wingdings" w:hint="default"/>
      </w:rPr>
    </w:lvl>
    <w:lvl w:ilvl="3">
      <w:start w:val="1"/>
      <w:numFmt w:val="bullet"/>
      <w:lvlText w:val=""/>
      <w:lvlJc w:val="left"/>
      <w:pPr>
        <w:ind w:hanging="360" w:left="3960"/>
      </w:pPr>
      <w:rPr>
        <w:rFonts w:ascii="Symbol" w:cs="Symbol" w:hAnsi="Symbol" w:hint="default"/>
      </w:rPr>
    </w:lvl>
    <w:lvl w:ilvl="4">
      <w:start w:val="1"/>
      <w:numFmt w:val="bullet"/>
      <w:lvlText w:val="o"/>
      <w:lvlJc w:val="left"/>
      <w:pPr>
        <w:ind w:hanging="360" w:left="4680"/>
      </w:pPr>
      <w:rPr>
        <w:rFonts w:ascii="Courier New" w:cs="Courier New" w:hAnsi="Courier New" w:hint="default"/>
      </w:rPr>
    </w:lvl>
    <w:lvl w:ilvl="5">
      <w:start w:val="1"/>
      <w:numFmt w:val="bullet"/>
      <w:lvlText w:val=""/>
      <w:lvlJc w:val="left"/>
      <w:pPr>
        <w:ind w:hanging="360" w:left="5400"/>
      </w:pPr>
      <w:rPr>
        <w:rFonts w:ascii="Wingdings" w:cs="Wingdings" w:hAnsi="Wingdings" w:hint="default"/>
      </w:rPr>
    </w:lvl>
    <w:lvl w:ilvl="6">
      <w:start w:val="1"/>
      <w:numFmt w:val="bullet"/>
      <w:lvlText w:val=""/>
      <w:lvlJc w:val="left"/>
      <w:pPr>
        <w:ind w:hanging="360" w:left="6120"/>
      </w:pPr>
      <w:rPr>
        <w:rFonts w:ascii="Symbol" w:cs="Symbol" w:hAnsi="Symbol" w:hint="default"/>
      </w:rPr>
    </w:lvl>
    <w:lvl w:ilvl="7">
      <w:start w:val="1"/>
      <w:numFmt w:val="bullet"/>
      <w:lvlText w:val="o"/>
      <w:lvlJc w:val="left"/>
      <w:pPr>
        <w:ind w:hanging="360" w:left="6840"/>
      </w:pPr>
      <w:rPr>
        <w:rFonts w:ascii="Courier New" w:cs="Courier New" w:hAnsi="Courier New" w:hint="default"/>
      </w:rPr>
    </w:lvl>
    <w:lvl w:ilvl="8">
      <w:start w:val="1"/>
      <w:numFmt w:val="bullet"/>
      <w:lvlText w:val=""/>
      <w:lvlJc w:val="left"/>
      <w:pPr>
        <w:ind w:hanging="360" w:left="7560"/>
      </w:pPr>
      <w:rPr>
        <w:rFonts w:ascii="Wingdings" w:cs="Wingdings" w:hAnsi="Wingdings" w:hint="default"/>
      </w:rPr>
    </w:lvl>
  </w:abstractNum>
  <w:abstractNum w:abstractNumId="6">
    <w:lvl w:ilvl="0">
      <w:start w:val="1"/>
      <w:numFmt w:val="lowerLetter"/>
      <w:lvlText w:val="%1)"/>
      <w:lvlJc w:val="lef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7">
    <w:lvl w:ilvl="0">
      <w:start w:val="1"/>
      <w:numFmt w:val="lowerLetter"/>
      <w:lvlText w:val="%1)"/>
      <w:lvlJc w:val="left"/>
      <w:pPr>
        <w:ind w:hanging="360" w:left="785"/>
      </w:pPr>
      <w:rPr>
        <w:b/>
      </w:rPr>
    </w:lvl>
    <w:lvl w:ilvl="1">
      <w:start w:val="1"/>
      <w:numFmt w:val="lowerLetter"/>
      <w:lvlText w:val="%2."/>
      <w:lvlJc w:val="left"/>
      <w:pPr>
        <w:ind w:hanging="360" w:left="1505"/>
      </w:pPr>
    </w:lvl>
    <w:lvl w:ilvl="2">
      <w:start w:val="1"/>
      <w:numFmt w:val="lowerRoman"/>
      <w:lvlText w:val="%3."/>
      <w:lvlJc w:val="right"/>
      <w:pPr>
        <w:ind w:hanging="180" w:left="2225"/>
      </w:pPr>
    </w:lvl>
    <w:lvl w:ilvl="3">
      <w:start w:val="1"/>
      <w:numFmt w:val="decimal"/>
      <w:lvlText w:val="%4."/>
      <w:lvlJc w:val="left"/>
      <w:pPr>
        <w:ind w:hanging="360" w:left="2945"/>
      </w:pPr>
    </w:lvl>
    <w:lvl w:ilvl="4">
      <w:start w:val="1"/>
      <w:numFmt w:val="lowerLetter"/>
      <w:lvlText w:val="%5."/>
      <w:lvlJc w:val="left"/>
      <w:pPr>
        <w:ind w:hanging="360" w:left="3665"/>
      </w:pPr>
    </w:lvl>
    <w:lvl w:ilvl="5">
      <w:start w:val="1"/>
      <w:numFmt w:val="lowerRoman"/>
      <w:lvlText w:val="%6."/>
      <w:lvlJc w:val="right"/>
      <w:pPr>
        <w:ind w:hanging="180" w:left="4385"/>
      </w:pPr>
    </w:lvl>
    <w:lvl w:ilvl="6">
      <w:start w:val="1"/>
      <w:numFmt w:val="decimal"/>
      <w:lvlText w:val="%7."/>
      <w:lvlJc w:val="left"/>
      <w:pPr>
        <w:ind w:hanging="360" w:left="5105"/>
      </w:pPr>
    </w:lvl>
    <w:lvl w:ilvl="7">
      <w:start w:val="1"/>
      <w:numFmt w:val="lowerLetter"/>
      <w:lvlText w:val="%8."/>
      <w:lvlJc w:val="left"/>
      <w:pPr>
        <w:ind w:hanging="360" w:left="5825"/>
      </w:pPr>
    </w:lvl>
    <w:lvl w:ilvl="8">
      <w:start w:val="1"/>
      <w:numFmt w:val="lowerRoman"/>
      <w:lvlText w:val="%9."/>
      <w:lvlJc w:val="right"/>
      <w:pPr>
        <w:ind w:hanging="180" w:left="6545"/>
      </w:pPr>
    </w:lvl>
  </w:abstractNum>
  <w:abstractNum w:abstractNumId="8">
    <w:lvl w:ilvl="0">
      <w:start w:val="1"/>
      <w:numFmt w:val="lowerLetter"/>
      <w:lvlText w:val="%1)"/>
      <w:lvlJc w:val="left"/>
      <w:pPr>
        <w:ind w:hanging="360" w:left="1428"/>
      </w:pPr>
    </w:lvl>
    <w:lvl w:ilvl="1">
      <w:start w:val="1"/>
      <w:numFmt w:val="lowerLetter"/>
      <w:lvlText w:val="%2."/>
      <w:lvlJc w:val="left"/>
      <w:pPr>
        <w:ind w:hanging="360" w:left="2148"/>
      </w:pPr>
    </w:lvl>
    <w:lvl w:ilvl="2">
      <w:start w:val="1"/>
      <w:numFmt w:val="lowerRoman"/>
      <w:lvlText w:val="%3."/>
      <w:lvlJc w:val="right"/>
      <w:pPr>
        <w:ind w:hanging="180" w:left="2868"/>
      </w:pPr>
    </w:lvl>
    <w:lvl w:ilvl="3">
      <w:start w:val="1"/>
      <w:numFmt w:val="decimal"/>
      <w:lvlText w:val="%4."/>
      <w:lvlJc w:val="left"/>
      <w:pPr>
        <w:ind w:hanging="360" w:left="3588"/>
      </w:pPr>
    </w:lvl>
    <w:lvl w:ilvl="4">
      <w:start w:val="1"/>
      <w:numFmt w:val="lowerLetter"/>
      <w:lvlText w:val="%5."/>
      <w:lvlJc w:val="left"/>
      <w:pPr>
        <w:ind w:hanging="360" w:left="4308"/>
      </w:pPr>
    </w:lvl>
    <w:lvl w:ilvl="5">
      <w:start w:val="1"/>
      <w:numFmt w:val="lowerRoman"/>
      <w:lvlText w:val="%6."/>
      <w:lvlJc w:val="right"/>
      <w:pPr>
        <w:ind w:hanging="180" w:left="5028"/>
      </w:pPr>
    </w:lvl>
    <w:lvl w:ilvl="6">
      <w:start w:val="1"/>
      <w:numFmt w:val="decimal"/>
      <w:lvlText w:val="%7."/>
      <w:lvlJc w:val="left"/>
      <w:pPr>
        <w:ind w:hanging="360" w:left="5748"/>
      </w:pPr>
    </w:lvl>
    <w:lvl w:ilvl="7">
      <w:start w:val="1"/>
      <w:numFmt w:val="lowerLetter"/>
      <w:lvlText w:val="%8."/>
      <w:lvlJc w:val="left"/>
      <w:pPr>
        <w:ind w:hanging="360" w:left="6468"/>
      </w:pPr>
    </w:lvl>
    <w:lvl w:ilvl="8">
      <w:start w:val="1"/>
      <w:numFmt w:val="lowerRoman"/>
      <w:lvlText w:val="%9."/>
      <w:lvlJc w:val="right"/>
      <w:pPr>
        <w:ind w:hanging="180" w:left="7188"/>
      </w:pPr>
    </w:lvl>
  </w:abstractNum>
  <w:abstractNum w:abstractNumId="9">
    <w:lvl w:ilvl="0">
      <w:start w:val="1"/>
      <w:numFmt w:val="lowerLetter"/>
      <w:lvlText w:val="%1)"/>
      <w:lvlJc w:val="left"/>
      <w:pPr>
        <w:ind w:hanging="360" w:left="862"/>
      </w:pPr>
      <w:rPr>
        <w:b/>
      </w:rPr>
    </w:lvl>
    <w:lvl w:ilvl="1">
      <w:start w:val="1"/>
      <w:numFmt w:val="lowerRoman"/>
      <w:lvlText w:val="%2."/>
      <w:lvlJc w:val="right"/>
      <w:pPr>
        <w:ind w:hanging="360" w:left="1582"/>
      </w:pPr>
      <w:rPr>
        <w:b w:val="false"/>
      </w:rPr>
    </w:lvl>
    <w:lvl w:ilvl="2">
      <w:start w:val="1"/>
      <w:numFmt w:val="lowerRoman"/>
      <w:lvlText w:val="%3."/>
      <w:lvlJc w:val="right"/>
      <w:pPr>
        <w:ind w:hanging="180" w:left="2302"/>
      </w:pPr>
    </w:lvl>
    <w:lvl w:ilvl="3">
      <w:start w:val="17"/>
      <w:numFmt w:val="decimal"/>
      <w:lvlText w:val="%4."/>
      <w:lvlJc w:val="left"/>
      <w:pPr>
        <w:ind w:hanging="360" w:left="3022"/>
      </w:pPr>
    </w:lvl>
    <w:lvl w:ilvl="4">
      <w:start w:val="1"/>
      <w:numFmt w:val="lowerLetter"/>
      <w:lvlText w:val="%5."/>
      <w:lvlJc w:val="left"/>
      <w:pPr>
        <w:ind w:hanging="360" w:left="3742"/>
      </w:pPr>
    </w:lvl>
    <w:lvl w:ilvl="5">
      <w:start w:val="1"/>
      <w:numFmt w:val="lowerRoman"/>
      <w:lvlText w:val="%6."/>
      <w:lvlJc w:val="right"/>
      <w:pPr>
        <w:ind w:hanging="180" w:left="4462"/>
      </w:pPr>
    </w:lvl>
    <w:lvl w:ilvl="6">
      <w:start w:val="1"/>
      <w:numFmt w:val="decimal"/>
      <w:lvlText w:val="%7."/>
      <w:lvlJc w:val="left"/>
      <w:pPr>
        <w:ind w:hanging="360" w:left="5182"/>
      </w:pPr>
    </w:lvl>
    <w:lvl w:ilvl="7">
      <w:start w:val="1"/>
      <w:numFmt w:val="lowerLetter"/>
      <w:lvlText w:val="%8."/>
      <w:lvlJc w:val="left"/>
      <w:pPr>
        <w:ind w:hanging="360" w:left="5902"/>
      </w:pPr>
    </w:lvl>
    <w:lvl w:ilvl="8">
      <w:start w:val="1"/>
      <w:numFmt w:val="lowerRoman"/>
      <w:lvlText w:val="%9."/>
      <w:lvlJc w:val="right"/>
      <w:pPr>
        <w:ind w:hanging="180" w:left="6622"/>
      </w:pPr>
    </w:lvl>
  </w:abstractNum>
  <w:abstractNum w:abstractNumId="10">
    <w:lvl w:ilvl="0">
      <w:start w:val="1"/>
      <w:numFmt w:val="low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4"/>
      <w:numFmt w:val="decimal"/>
      <w:lvlText w:val="%1."/>
      <w:lvlJc w:val="left"/>
      <w:pPr>
        <w:ind w:hanging="720" w:left="720"/>
      </w:pPr>
    </w:lvl>
    <w:lvl w:ilvl="1">
      <w:start w:val="1"/>
      <w:numFmt w:val="decimal"/>
      <w:lvlText w:val="%1.%2."/>
      <w:lvlJc w:val="left"/>
      <w:pPr>
        <w:ind w:hanging="720" w:left="1080"/>
      </w:pPr>
    </w:lvl>
    <w:lvl w:ilvl="2">
      <w:start w:val="1"/>
      <w:numFmt w:val="decimal"/>
      <w:lvlText w:val="%1.%2.%3."/>
      <w:lvlJc w:val="left"/>
      <w:pPr>
        <w:ind w:hanging="720" w:left="1440"/>
      </w:pPr>
    </w:lvl>
    <w:lvl w:ilvl="3">
      <w:start w:val="1"/>
      <w:numFmt w:val="decimal"/>
      <w:lvlText w:val="%1.%2.%3.%4."/>
      <w:lvlJc w:val="left"/>
      <w:pPr>
        <w:ind w:hanging="1080" w:left="2160"/>
      </w:pPr>
    </w:lvl>
    <w:lvl w:ilvl="4">
      <w:start w:val="1"/>
      <w:numFmt w:val="decimal"/>
      <w:lvlText w:val="%1.%2.%3.%4.%5."/>
      <w:lvlJc w:val="left"/>
      <w:pPr>
        <w:ind w:hanging="1080" w:left="2520"/>
      </w:pPr>
    </w:lvl>
    <w:lvl w:ilvl="5">
      <w:start w:val="1"/>
      <w:numFmt w:val="decimal"/>
      <w:lvlText w:val="%1.%2.%3.%4.%5.%6."/>
      <w:lvlJc w:val="left"/>
      <w:pPr>
        <w:ind w:hanging="1440" w:left="3240"/>
      </w:pPr>
    </w:lvl>
    <w:lvl w:ilvl="6">
      <w:start w:val="1"/>
      <w:numFmt w:val="decimal"/>
      <w:lvlText w:val="%1.%2.%3.%4.%5.%6.%7."/>
      <w:lvlJc w:val="left"/>
      <w:pPr>
        <w:ind w:hanging="1440" w:left="3600"/>
      </w:pPr>
    </w:lvl>
    <w:lvl w:ilvl="7">
      <w:start w:val="1"/>
      <w:numFmt w:val="decimal"/>
      <w:lvlText w:val="%1.%2.%3.%4.%5.%6.%7.%8."/>
      <w:lvlJc w:val="left"/>
      <w:pPr>
        <w:ind w:hanging="1800" w:left="4320"/>
      </w:pPr>
    </w:lvl>
    <w:lvl w:ilvl="8">
      <w:start w:val="1"/>
      <w:numFmt w:val="decimal"/>
      <w:lvlText w:val="%1.%2.%3.%4.%5.%6.%7.%8.%9."/>
      <w:lvlJc w:val="left"/>
      <w:pPr>
        <w:ind w:hanging="2160" w:left="504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w:style w:styleId="style0" w:type="paragraph">
    <w:name w:val="Padrão"/>
    <w:next w:val="style0"/>
    <w:pPr>
      <w:widowControl/>
      <w:tabs/>
      <w:suppressAutoHyphens w:val="true"/>
      <w:spacing w:after="0" w:before="0" w:line="100" w:lineRule="atLeast"/>
      <w:contextualSpacing w:val="false"/>
    </w:pPr>
    <w:rPr>
      <w:rFonts w:ascii="Times New Roman" w:cs="Times New Roman" w:eastAsia="Times New Roman" w:hAnsi="Times New Roman"/>
      <w:color w:val="00000A"/>
      <w:sz w:val="24"/>
      <w:szCs w:val="24"/>
      <w:lang w:bidi="ar-SA" w:eastAsia="pt-BR" w:val="pt-BR"/>
    </w:rPr>
  </w:style>
  <w:style w:styleId="style1" w:type="paragraph">
    <w:name w:val="Título 1"/>
    <w:basedOn w:val="style0"/>
    <w:next w:val="style34"/>
    <w:pPr>
      <w:keepNext/>
      <w:numPr>
        <w:ilvl w:val="0"/>
        <w:numId w:val="1"/>
      </w:numPr>
      <w:spacing w:after="60" w:before="240"/>
      <w:contextualSpacing w:val="false"/>
      <w:outlineLvl w:val="0"/>
    </w:pPr>
    <w:rPr>
      <w:rFonts w:ascii="Cambria" w:hAnsi="Cambria"/>
      <w:b/>
      <w:bCs/>
      <w:sz w:val="32"/>
      <w:szCs w:val="32"/>
    </w:rPr>
  </w:style>
  <w:style w:styleId="style15" w:type="character">
    <w:name w:val="Default Paragraph Font"/>
    <w:next w:val="style15"/>
    <w:rPr/>
  </w:style>
  <w:style w:styleId="style16" w:type="character">
    <w:name w:val="Título 1 Char"/>
    <w:basedOn w:val="style15"/>
    <w:next w:val="style16"/>
    <w:rPr>
      <w:rFonts w:ascii="Cambria" w:cs="Times New Roman" w:eastAsia="Times New Roman" w:hAnsi="Cambria"/>
      <w:b/>
      <w:bCs/>
      <w:sz w:val="32"/>
      <w:szCs w:val="32"/>
      <w:lang w:eastAsia="pt-BR"/>
    </w:rPr>
  </w:style>
  <w:style w:styleId="style17" w:type="character">
    <w:name w:val="Cabeçalho Char"/>
    <w:basedOn w:val="style15"/>
    <w:next w:val="style17"/>
    <w:rPr>
      <w:rFonts w:ascii="Times New Roman" w:cs="Times New Roman" w:eastAsia="Times New Roman" w:hAnsi="Times New Roman"/>
      <w:sz w:val="24"/>
      <w:szCs w:val="24"/>
      <w:lang w:eastAsia="pt-BR"/>
    </w:rPr>
  </w:style>
  <w:style w:styleId="style18" w:type="character">
    <w:name w:val="Rodapé Char"/>
    <w:basedOn w:val="style15"/>
    <w:next w:val="style18"/>
    <w:rPr>
      <w:rFonts w:ascii="Times New Roman" w:cs="Times New Roman" w:eastAsia="Times New Roman" w:hAnsi="Times New Roman"/>
      <w:sz w:val="24"/>
      <w:szCs w:val="24"/>
      <w:lang w:eastAsia="pt-BR"/>
    </w:rPr>
  </w:style>
  <w:style w:styleId="style19" w:type="character">
    <w:name w:val="ListLabel 1"/>
    <w:next w:val="style19"/>
    <w:rPr>
      <w:b/>
    </w:rPr>
  </w:style>
  <w:style w:styleId="style20" w:type="character">
    <w:name w:val="ListLabel 2"/>
    <w:next w:val="style20"/>
    <w:rPr>
      <w:rFonts w:cs="Courier New"/>
    </w:rPr>
  </w:style>
  <w:style w:styleId="style21" w:type="character">
    <w:name w:val="ListLabel 3"/>
    <w:next w:val="style21"/>
    <w:rPr>
      <w:rFonts w:cs="Arial" w:eastAsia="Times New Roman"/>
      <w:b/>
    </w:rPr>
  </w:style>
  <w:style w:styleId="style22" w:type="character">
    <w:name w:val="ListLabel 4"/>
    <w:next w:val="style22"/>
    <w:rPr>
      <w:sz w:val="28"/>
    </w:rPr>
  </w:style>
  <w:style w:styleId="style23" w:type="character">
    <w:name w:val="ListLabel 5"/>
    <w:next w:val="style23"/>
    <w:rPr>
      <w:rFonts w:cs="Arial" w:eastAsia="Times New Roman"/>
    </w:rPr>
  </w:style>
  <w:style w:styleId="style24" w:type="character">
    <w:name w:val="ListLabel 6"/>
    <w:next w:val="style24"/>
    <w:rPr>
      <w:rFonts w:cs="Arial" w:eastAsia="Times New Roman"/>
      <w:b w:val="false"/>
    </w:rPr>
  </w:style>
  <w:style w:styleId="style25" w:type="character">
    <w:name w:val="ListLabel 7"/>
    <w:next w:val="style25"/>
    <w:rPr>
      <w:b w:val="false"/>
    </w:rPr>
  </w:style>
  <w:style w:styleId="style26" w:type="character">
    <w:name w:val="ListLabel 8"/>
    <w:next w:val="style26"/>
    <w:rPr>
      <w:b/>
      <w:sz w:val="28"/>
    </w:rPr>
  </w:style>
  <w:style w:styleId="style27" w:type="character">
    <w:name w:val="ListLabel 9"/>
    <w:next w:val="style27"/>
    <w:rPr>
      <w:b/>
      <w:sz w:val="24"/>
      <w:szCs w:val="24"/>
    </w:rPr>
  </w:style>
  <w:style w:styleId="style28" w:type="character">
    <w:name w:val="ListLabel 10"/>
    <w:next w:val="style28"/>
    <w:rPr>
      <w:b/>
    </w:rPr>
  </w:style>
  <w:style w:styleId="style29" w:type="character">
    <w:name w:val="ListLabel 11"/>
    <w:next w:val="style29"/>
    <w:rPr>
      <w:rFonts w:cs="Symbol"/>
    </w:rPr>
  </w:style>
  <w:style w:styleId="style30" w:type="character">
    <w:name w:val="ListLabel 12"/>
    <w:next w:val="style30"/>
    <w:rPr>
      <w:rFonts w:cs="Courier New"/>
    </w:rPr>
  </w:style>
  <w:style w:styleId="style31" w:type="character">
    <w:name w:val="ListLabel 13"/>
    <w:next w:val="style31"/>
    <w:rPr>
      <w:rFonts w:cs="Wingdings"/>
    </w:rPr>
  </w:style>
  <w:style w:styleId="style32" w:type="character">
    <w:name w:val="ListLabel 14"/>
    <w:next w:val="style32"/>
    <w:rPr>
      <w:b w:val="false"/>
    </w:rPr>
  </w:style>
  <w:style w:styleId="style33" w:type="paragraph">
    <w:name w:val="Título"/>
    <w:basedOn w:val="style0"/>
    <w:next w:val="style34"/>
    <w:pPr>
      <w:keepNext/>
      <w:spacing w:after="120" w:before="240"/>
      <w:contextualSpacing w:val="false"/>
    </w:pPr>
    <w:rPr>
      <w:rFonts w:ascii="Arial" w:cs="Mangal" w:eastAsia="Microsoft YaHei" w:hAnsi="Arial"/>
      <w:sz w:val="28"/>
      <w:szCs w:val="28"/>
    </w:rPr>
  </w:style>
  <w:style w:styleId="style34" w:type="paragraph">
    <w:name w:val="Corpo de texto"/>
    <w:basedOn w:val="style0"/>
    <w:next w:val="style34"/>
    <w:pPr>
      <w:spacing w:after="120" w:before="0"/>
      <w:contextualSpacing w:val="false"/>
    </w:pPr>
    <w:rPr/>
  </w:style>
  <w:style w:styleId="style35" w:type="paragraph">
    <w:name w:val="Lista"/>
    <w:basedOn w:val="style34"/>
    <w:next w:val="style35"/>
    <w:pPr/>
    <w:rPr>
      <w:rFonts w:cs="Mangal"/>
    </w:rPr>
  </w:style>
  <w:style w:styleId="style36" w:type="paragraph">
    <w:name w:val="Legenda"/>
    <w:basedOn w:val="style0"/>
    <w:next w:val="style36"/>
    <w:pPr>
      <w:suppressLineNumbers/>
      <w:spacing w:after="120" w:before="120"/>
      <w:contextualSpacing w:val="false"/>
    </w:pPr>
    <w:rPr>
      <w:rFonts w:cs="Mangal"/>
      <w:i/>
      <w:iCs/>
      <w:sz w:val="24"/>
      <w:szCs w:val="24"/>
    </w:rPr>
  </w:style>
  <w:style w:styleId="style37" w:type="paragraph">
    <w:name w:val="Índice"/>
    <w:basedOn w:val="style0"/>
    <w:next w:val="style37"/>
    <w:pPr>
      <w:suppressLineNumbers/>
    </w:pPr>
    <w:rPr>
      <w:rFonts w:cs="Mangal"/>
    </w:rPr>
  </w:style>
  <w:style w:styleId="style38" w:type="paragraph">
    <w:name w:val="List Paragraph"/>
    <w:basedOn w:val="style0"/>
    <w:next w:val="style38"/>
    <w:pPr>
      <w:spacing w:after="200" w:before="0" w:line="276" w:lineRule="auto"/>
      <w:ind w:hanging="0" w:left="708" w:right="0"/>
      <w:contextualSpacing w:val="false"/>
    </w:pPr>
    <w:rPr>
      <w:rFonts w:ascii="Calibri" w:eastAsia="Calibri" w:hAnsi="Calibri"/>
      <w:sz w:val="22"/>
      <w:szCs w:val="22"/>
      <w:lang w:eastAsia="en-US"/>
    </w:rPr>
  </w:style>
  <w:style w:styleId="style39" w:type="paragraph">
    <w:name w:val="Texto"/>
    <w:basedOn w:val="style0"/>
    <w:next w:val="style39"/>
    <w:pPr>
      <w:spacing w:after="80" w:before="80" w:line="360" w:lineRule="auto"/>
      <w:ind w:firstLine="709" w:left="0" w:right="0"/>
      <w:contextualSpacing w:val="false"/>
      <w:jc w:val="both"/>
    </w:pPr>
    <w:rPr>
      <w:rFonts w:ascii="Arial" w:hAnsi="Arial"/>
      <w:sz w:val="20"/>
      <w:szCs w:val="20"/>
    </w:rPr>
  </w:style>
  <w:style w:styleId="style40" w:type="paragraph">
    <w:name w:val="Cabeçalho"/>
    <w:basedOn w:val="style0"/>
    <w:next w:val="style40"/>
    <w:pPr>
      <w:suppressLineNumbers/>
      <w:tabs>
        <w:tab w:leader="none" w:pos="4252" w:val="center"/>
        <w:tab w:leader="none" w:pos="8504" w:val="right"/>
      </w:tabs>
    </w:pPr>
    <w:rPr/>
  </w:style>
  <w:style w:styleId="style41" w:type="paragraph">
    <w:name w:val="Rodapé"/>
    <w:basedOn w:val="style0"/>
    <w:next w:val="style41"/>
    <w:pPr>
      <w:suppressLineNumbers/>
      <w:tabs>
        <w:tab w:leader="none" w:pos="4252" w:val="center"/>
        <w:tab w:leader="none" w:pos="8504"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2020-01-09T11:52:00.00Z</dcterms:created>
  <dc:creator>Renan Simões</dc:creator>
  <cp:lastModifiedBy>Renan Simões</cp:lastModifiedBy>
  <cp:lastPrinted>2020-01-16T11:18:01.15Z</cp:lastPrinted>
  <dcterms:modified xsi:type="dcterms:W3CDTF">2020-01-09T11:52:00.00Z</dcterms:modified>
  <cp:revision>2</cp:revision>
</cp:coreProperties>
</file>