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360"/>
        <w:ind w:right="0" w:left="0" w:firstLine="0"/>
        <w:jc w:val="center"/>
        <w:rPr>
          <w:rFonts w:ascii="Arial" w:hAnsi="Arial" w:cs="Arial" w:eastAsia="Arial"/>
          <w:color w:val="00000A"/>
          <w:spacing w:val="0"/>
          <w:position w:val="0"/>
          <w:sz w:val="20"/>
          <w:shd w:fill="auto" w:val="clear"/>
        </w:rPr>
      </w:pPr>
      <w:r>
        <w:rPr>
          <w:rFonts w:ascii="Times New Roman" w:hAnsi="Times New Roman" w:cs="Times New Roman" w:eastAsia="Times New Roman"/>
          <w:b/>
          <w:color w:val="000000"/>
          <w:spacing w:val="0"/>
          <w:position w:val="0"/>
          <w:sz w:val="28"/>
          <w:u w:val="single"/>
          <w:shd w:fill="auto" w:val="clear"/>
        </w:rPr>
        <w:t xml:space="preserve">ANEXO X</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center"/>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8"/>
          <w:u w:val="single"/>
          <w:shd w:fill="auto" w:val="clear"/>
        </w:rPr>
        <w:t xml:space="preserve">PROJETO BÁSICO</w:t>
      </w:r>
    </w:p>
    <w:p>
      <w:pPr>
        <w:keepNext w:val="true"/>
        <w:widowControl w:val="false"/>
        <w:numPr>
          <w:ilvl w:val="0"/>
          <w:numId w:val="4"/>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A"/>
          <w:spacing w:val="0"/>
          <w:position w:val="0"/>
          <w:sz w:val="24"/>
          <w:shd w:fill="auto" w:val="clear"/>
        </w:rPr>
        <w:t xml:space="preserve">PREÂMBULO</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Em face do que estatui a alínea “e”, inciso IX, do artigo 6º da Lei nº 8.666, de 21 de junho de 1993 e, de modo a disponibilizar os subsídios necessários a montagem do plano de licitação e gestão do serviço definido no item </w:t>
      </w:r>
      <w:r>
        <w:rPr>
          <w:rFonts w:ascii="Arial" w:hAnsi="Arial" w:cs="Arial" w:eastAsia="Arial"/>
          <w:color w:val="00000A"/>
          <w:spacing w:val="0"/>
          <w:position w:val="0"/>
          <w:sz w:val="20"/>
          <w:shd w:fill="auto" w:val="clear"/>
        </w:rPr>
        <w:t xml:space="preserve">2</w:t>
      </w:r>
      <w:r>
        <w:rPr>
          <w:rFonts w:ascii="Arial" w:hAnsi="Arial" w:cs="Arial" w:eastAsia="Arial"/>
          <w:color w:val="000000"/>
          <w:spacing w:val="0"/>
          <w:position w:val="0"/>
          <w:sz w:val="24"/>
          <w:shd w:fill="auto" w:val="clear"/>
        </w:rPr>
        <w:t xml:space="preserve">, deste documento, este órgão elaborou o presente Projeto Básico/Plano de Trabalho, nos termos do que preconiza a referida Lei e demais normas regentes.</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p>
    <w:p>
      <w:pPr>
        <w:keepNext w:val="true"/>
        <w:widowControl w:val="false"/>
        <w:numPr>
          <w:ilvl w:val="0"/>
          <w:numId w:val="6"/>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OBJETO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t xml:space="preserve">Este Projeto tem por objeto especificar, para fins de execução indireta, a </w:t>
      </w:r>
      <w:r>
        <w:rPr>
          <w:rFonts w:ascii="Arial" w:hAnsi="Arial" w:cs="Arial" w:eastAsia="Arial"/>
          <w:b/>
          <w:color w:val="00000A"/>
          <w:spacing w:val="0"/>
          <w:position w:val="0"/>
          <w:sz w:val="24"/>
          <w:shd w:fill="auto" w:val="clear"/>
        </w:rPr>
        <w:t xml:space="preserve">REFORMA DA UNIDADE BÁSICA DE SAÚDE DR. ARISTEU DE OLIVEIRA PINTO, LOCALIZADA NA PRAÇA NUNES DUARTE, S/N - SÃO JOSÉ - ITABORAÍ / RJ, </w:t>
      </w:r>
      <w:r>
        <w:rPr>
          <w:rFonts w:ascii="Arial" w:hAnsi="Arial" w:cs="Arial" w:eastAsia="Arial"/>
          <w:color w:val="00000A"/>
          <w:spacing w:val="0"/>
          <w:position w:val="0"/>
          <w:sz w:val="24"/>
          <w:shd w:fill="auto" w:val="clear"/>
        </w:rPr>
        <w:t xml:space="preserve">com</w:t>
      </w:r>
      <w:r>
        <w:rPr>
          <w:rFonts w:ascii="Arial" w:hAnsi="Arial" w:cs="Arial" w:eastAsia="Arial"/>
          <w:color w:val="000000"/>
          <w:spacing w:val="0"/>
          <w:position w:val="0"/>
          <w:sz w:val="24"/>
          <w:shd w:fill="auto" w:val="clear"/>
        </w:rPr>
        <w:t xml:space="preserve"> fornecimento de mão de obra, materiais e equipamentos.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keepNext w:val="true"/>
        <w:widowControl w:val="false"/>
        <w:numPr>
          <w:ilvl w:val="0"/>
          <w:numId w:val="9"/>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JUSTIFICATIVA DO PROJETO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FFFFFF" w:val="clear"/>
        </w:rPr>
      </w:pPr>
      <w:r>
        <w:rPr>
          <w:rFonts w:ascii="Arial" w:hAnsi="Arial" w:cs="Arial" w:eastAsia="Arial"/>
          <w:color w:val="00000A"/>
          <w:spacing w:val="0"/>
          <w:position w:val="0"/>
          <w:sz w:val="24"/>
          <w:shd w:fill="FFFFFF" w:val="clear"/>
        </w:rPr>
        <w:t xml:space="preserve">Considerando que a Unidade Básica de Saúde da Família de São José foi construída no ano de 2004 e já não atende as normas vigentes da Portaria 340/2011, necessitando de adequação dos ambientes, tendo em vista o acesso aos usuários na Unidade, bem como o redimensionamento destes ambientes. Solicitamos a reforma da UBS. Para tal, realizou-se visita in loco da equipe da Coordenação e do Setor de Engenharia e Arquitetura da secretaria de Saúde a fim de fazer levantamento das necessidades. Foram levados em consideração a planta do projeto original, vale ressaltar que alguns ambientes foram adaptados pela equipe para atendimento dos usuários.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Desta forma foi necessária a elaboração de um Projeto Básico de Arquitetura (PBA) contendo tais adequações no edifício para ter os ambientes mínimos ao atendimento de qualidade, prezando pela segurança do paciente.  </w:t>
      </w:r>
    </w:p>
    <w:p>
      <w:pPr>
        <w:widowControl w:val="false"/>
        <w:numPr>
          <w:ilvl w:val="0"/>
          <w:numId w:val="13"/>
        </w:numPr>
        <w:tabs>
          <w:tab w:val="left" w:pos="360" w:leader="none"/>
        </w:tabs>
        <w:suppressAutoHyphens w:val="true"/>
        <w:spacing w:before="0" w:after="0" w:line="360"/>
        <w:ind w:right="0" w:left="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0"/>
          <w:spacing w:val="0"/>
          <w:position w:val="0"/>
          <w:sz w:val="24"/>
          <w:shd w:fill="auto" w:val="clear"/>
        </w:rPr>
        <w:t xml:space="preserve">ESPECIFICAÇÕES DOS SERVIÇOS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Os serviços a serem realizados são os constantes da planilha orçamentária, em anexo, sendo os</w:t>
      </w:r>
      <w:r>
        <w:rPr>
          <w:rFonts w:ascii="Arial" w:hAnsi="Arial" w:cs="Arial" w:eastAsia="Arial"/>
          <w:color w:val="00000A"/>
          <w:spacing w:val="0"/>
          <w:position w:val="0"/>
          <w:sz w:val="24"/>
          <w:shd w:fill="auto" w:val="clear"/>
        </w:rPr>
        <w:t xml:space="preserve"> quantitativos da aludida planilha.</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A"/>
          <w:spacing w:val="0"/>
          <w:position w:val="0"/>
          <w:sz w:val="24"/>
          <w:shd w:fill="auto" w:val="clear"/>
        </w:rPr>
        <w:t xml:space="preserve">Para cada serviço realizado no período de medição devidamente aprovado pela fiscalização explicitando a execução destes serviços.</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ab/>
        <w:t xml:space="preserve">Os equipamentos e materiais a serem utilizados na execução dos serviços serão aqueles previstos na planilha orçamentária em anexo.</w:t>
      </w:r>
    </w:p>
    <w:p>
      <w:pPr>
        <w:widowControl w:val="false"/>
        <w:suppressAutoHyphens w:val="true"/>
        <w:spacing w:before="0" w:after="0" w:line="360"/>
        <w:ind w:right="0" w:left="0" w:firstLine="708"/>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O presente serviço deverá ser contratado e avaliado em suas etapas e os quantitativos apurados deverão compor os serviços realmente realizados e constarão da planilha de medição e das ordens de serviços.</w:t>
      </w:r>
    </w:p>
    <w:p>
      <w:pPr>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Na execução de todos os projetos e serviços a Contratada deverá seguir as Normas Técnicas da Associação Brasileira de Normas Técnicas – ABNT e as normas citadas no decorrer destas Especificações.</w:t>
      </w:r>
    </w:p>
    <w:p>
      <w:pPr>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execução de todos os serviços obedecerá rigorosamente às indicações constantes no projeto, conforme plantas, e o constituem, além das prescrições contidas neste memorial, e demais documentos integrantes do contrato.</w:t>
      </w: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20"/>
        </w:numPr>
        <w:tabs>
          <w:tab w:val="left" w:pos="360" w:leader="none"/>
        </w:tabs>
        <w:suppressAutoHyphens w:val="true"/>
        <w:spacing w:before="0" w:after="0" w:line="360"/>
        <w:ind w:right="0" w:left="0" w:hanging="360"/>
        <w:jc w:val="both"/>
        <w:rPr>
          <w:rFonts w:ascii="Calibri" w:hAnsi="Calibri" w:cs="Calibri" w:eastAsia="Calibri"/>
          <w:color w:val="00000A"/>
          <w:spacing w:val="0"/>
          <w:position w:val="0"/>
          <w:sz w:val="22"/>
          <w:shd w:fill="auto" w:val="clear"/>
        </w:rPr>
      </w:pPr>
      <w:r>
        <w:rPr>
          <w:rFonts w:ascii="Arial" w:hAnsi="Arial" w:cs="Arial" w:eastAsia="Arial"/>
          <w:b/>
          <w:color w:val="000000"/>
          <w:spacing w:val="0"/>
          <w:position w:val="0"/>
          <w:sz w:val="24"/>
          <w:shd w:fill="auto" w:val="clear"/>
        </w:rPr>
        <w:t xml:space="preserve">DO REGIME DE EXECUÇÃO CONTRATUAL</w:t>
      </w:r>
      <w:r>
        <w:rPr>
          <w:rFonts w:ascii="Arial" w:hAnsi="Arial" w:cs="Arial" w:eastAsia="Arial"/>
          <w:color w:val="000000"/>
          <w:spacing w:val="0"/>
          <w:position w:val="0"/>
          <w:sz w:val="24"/>
          <w:shd w:fill="auto" w:val="clear"/>
        </w:rPr>
        <w:tab/>
      </w:r>
    </w:p>
    <w:p>
      <w:pPr>
        <w:widowControl w:val="false"/>
        <w:suppressAutoHyphens w:val="true"/>
        <w:spacing w:before="0" w:after="0" w:line="360"/>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0" w:line="360"/>
        <w:ind w:right="0" w:left="0" w:firstLine="708"/>
        <w:jc w:val="both"/>
        <w:rPr>
          <w:rFonts w:ascii="Calibri" w:hAnsi="Calibri" w:cs="Calibri" w:eastAsia="Calibri"/>
          <w:color w:val="00000A"/>
          <w:spacing w:val="0"/>
          <w:position w:val="0"/>
          <w:sz w:val="22"/>
          <w:shd w:fill="auto" w:val="clear"/>
        </w:rPr>
      </w:pPr>
      <w:r>
        <w:rPr>
          <w:rFonts w:ascii="Arial" w:hAnsi="Arial" w:cs="Arial" w:eastAsia="Arial"/>
          <w:color w:val="000000"/>
          <w:spacing w:val="0"/>
          <w:position w:val="0"/>
          <w:sz w:val="24"/>
          <w:shd w:fill="auto" w:val="clear"/>
        </w:rPr>
        <w:t xml:space="preserve">De modo a atender ao que dispõe o art. 40, </w:t>
      </w:r>
      <w:r>
        <w:rPr>
          <w:rFonts w:ascii="Arial" w:hAnsi="Arial" w:cs="Arial" w:eastAsia="Arial"/>
          <w:i/>
          <w:color w:val="000000"/>
          <w:spacing w:val="0"/>
          <w:position w:val="0"/>
          <w:sz w:val="24"/>
          <w:shd w:fill="auto" w:val="clear"/>
        </w:rPr>
        <w:t xml:space="preserve">caput</w:t>
      </w:r>
      <w:r>
        <w:rPr>
          <w:rFonts w:ascii="Arial" w:hAnsi="Arial" w:cs="Arial" w:eastAsia="Arial"/>
          <w:color w:val="000000"/>
          <w:spacing w:val="0"/>
          <w:position w:val="0"/>
          <w:sz w:val="24"/>
          <w:shd w:fill="auto" w:val="clear"/>
        </w:rPr>
        <w:t xml:space="preserve">, combinado com a alínea “e”, inciso IX, art. 6º da Lei Nacional nº 8.666/93, fica estabelecido que o Contrato que decorrer deste Projeto Básico deverá observar o Regime de Execução de acordo com o Cronograma Físico-Financeiro.</w:t>
      </w:r>
    </w:p>
    <w:p>
      <w:pPr>
        <w:keepNext w:val="true"/>
        <w:widowControl w:val="false"/>
        <w:numPr>
          <w:ilvl w:val="0"/>
          <w:numId w:val="23"/>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NORMAS DE FISCALIZAÇÃO DA EXECUÇÃO CONTRATUAL</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a alínea “e”, inciso IX, art. 6º da Lei Nacional n.º 8.666/93, a fiscalização da execução do contrato que decorrer deste Projeto Básico deverá ser feita por </w:t>
      </w:r>
      <w:r>
        <w:rPr>
          <w:rFonts w:ascii="Arial" w:hAnsi="Arial" w:cs="Arial" w:eastAsia="Arial"/>
          <w:b/>
          <w:color w:val="000000"/>
          <w:spacing w:val="0"/>
          <w:position w:val="0"/>
          <w:sz w:val="24"/>
          <w:shd w:fill="auto" w:val="clear"/>
        </w:rPr>
        <w:t xml:space="preserve">pelo menos dois servidores</w:t>
      </w:r>
      <w:r>
        <w:rPr>
          <w:rFonts w:ascii="Arial" w:hAnsi="Arial" w:cs="Arial" w:eastAsia="Arial"/>
          <w:color w:val="000000"/>
          <w:spacing w:val="0"/>
          <w:position w:val="0"/>
          <w:sz w:val="24"/>
          <w:shd w:fill="auto" w:val="clear"/>
        </w:rPr>
        <w:t xml:space="preserve">, designado pelo</w:t>
      </w:r>
      <w:r>
        <w:rPr>
          <w:rFonts w:ascii="Arial" w:hAnsi="Arial" w:cs="Arial" w:eastAsia="Arial"/>
          <w:b/>
          <w:color w:val="000000"/>
          <w:spacing w:val="0"/>
          <w:position w:val="0"/>
          <w:sz w:val="24"/>
          <w:shd w:fill="auto" w:val="clear"/>
        </w:rPr>
        <w:t xml:space="preserve"> Sr. Secretário Municipal de Saúde</w:t>
      </w:r>
      <w:r>
        <w:rPr>
          <w:rFonts w:ascii="Arial" w:hAnsi="Arial" w:cs="Arial" w:eastAsia="Arial"/>
          <w:color w:val="000000"/>
          <w:spacing w:val="0"/>
          <w:position w:val="0"/>
          <w:sz w:val="24"/>
          <w:shd w:fill="auto" w:val="clear"/>
        </w:rPr>
        <w:t xml:space="preserve">, ao qual competirá:</w:t>
      </w:r>
    </w:p>
    <w:p>
      <w:pPr>
        <w:keepNext w:val="true"/>
        <w:widowControl w:val="false"/>
        <w:numPr>
          <w:ilvl w:val="0"/>
          <w:numId w:val="27"/>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Fazer cumprir as especificação e demais condições estabelecidas neste Projeto Básico, no edital e no contrato que vier a ser celebrado;</w:t>
      </w:r>
    </w:p>
    <w:p>
      <w:pPr>
        <w:keepNext w:val="true"/>
        <w:widowControl w:val="false"/>
        <w:numPr>
          <w:ilvl w:val="0"/>
          <w:numId w:val="27"/>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Notificar a contratada acerca da prática de infrações que ensejem a aplicação das penas previstas nas sanções administrativas;</w:t>
      </w:r>
    </w:p>
    <w:p>
      <w:pPr>
        <w:keepNext w:val="true"/>
        <w:widowControl w:val="false"/>
        <w:numPr>
          <w:ilvl w:val="0"/>
          <w:numId w:val="27"/>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Suspender a execução contratual quando houver motivo que justifique a providência e, conforme o caso, determinar a correção do serviço considerado inadequado;</w:t>
      </w:r>
    </w:p>
    <w:p>
      <w:pPr>
        <w:keepNext w:val="true"/>
        <w:widowControl w:val="false"/>
        <w:numPr>
          <w:ilvl w:val="0"/>
          <w:numId w:val="27"/>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Exigir a substituição de qualquer empregado da contratada, cuja atuação, permanência ou comportamento seja julgado prejudicial, inconveniente ou insatisfatório à disciplina ou ao interesse público, sem que essa decisão acarrete qualquer ônus ao município.</w:t>
      </w:r>
    </w:p>
    <w:p>
      <w:pPr>
        <w:keepNext w:val="true"/>
        <w:widowControl w:val="false"/>
        <w:numPr>
          <w:ilvl w:val="0"/>
          <w:numId w:val="27"/>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Sob pena de responsabilização administrativa, deverá anotar, em diário específico, as ocorrências relativas à execução contrato que vier a ser celebrado, determinando a Contratada, formalmente, o que for necessário à regularização das faltas ou defeitos observados.</w:t>
      </w:r>
    </w:p>
    <w:p>
      <w:pPr>
        <w:keepNext w:val="true"/>
        <w:widowControl w:val="false"/>
        <w:numPr>
          <w:ilvl w:val="0"/>
          <w:numId w:val="27"/>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No que exceder à sua competência, comunicar, formalmente, o fato à Autoridade Superior, em tempo hábil, para adoção das medidas cabíveis.</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A Contratada deverá, contratualmente, ser obrigada a se submeter a todas as medidas, processos e procedimentos adotados pela Fiscalização.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A Contratada deverá manter, no local dos serviços, preposto especialmente designado, aceito pela Fiscalização, para prover o que disser respeito à regular execução do contrato.</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A instituição e a atuação da fiscalização do Município não excluem ou atenuam a responsabilidade da Contratada nem a exime de manter fiscalização própria.</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keepNext w:val="true"/>
        <w:widowControl w:val="false"/>
        <w:numPr>
          <w:ilvl w:val="0"/>
          <w:numId w:val="33"/>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NORMAS TÉCNICAS DE SAÚDE E SEGURANÇA DO TRABALHO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o inciso VI, art. 12 da Lei nº 8.666/93, a Contratada deverá observar todas as normas de saúde e segurança do trabalho, aplicáveis aos serviços objeto deste Projeto.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t xml:space="preserve">De modo a atender ao que dispõe o inciso VI, art. 12 da Lei nº 8.666/93, a seguir está informado às normas técnicas de saúde e de segurança do trabalho a serem observadas pela Contratada para execução do objeto deste Projeto Básico:</w:t>
      </w:r>
    </w:p>
    <w:p>
      <w:pPr>
        <w:keepNext w:val="true"/>
        <w:widowControl w:val="false"/>
        <w:numPr>
          <w:ilvl w:val="0"/>
          <w:numId w:val="38"/>
        </w:numPr>
        <w:tabs>
          <w:tab w:val="left" w:pos="1004" w:leader="none"/>
        </w:tabs>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Fornecer e usar, obrigatoriamente, Equipamento de Proteção Individual (E.P.I.), exigidos conforme a natureza da tarefa (capacete, óculos, luvas, etc.);</w:t>
      </w:r>
    </w:p>
    <w:p>
      <w:pPr>
        <w:keepNext w:val="true"/>
        <w:widowControl w:val="false"/>
        <w:numPr>
          <w:ilvl w:val="0"/>
          <w:numId w:val="38"/>
        </w:numPr>
        <w:suppressAutoHyphens w:val="true"/>
        <w:spacing w:before="0" w:after="0" w:line="360"/>
        <w:ind w:right="0" w:left="0"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keepNext w:val="true"/>
        <w:widowControl w:val="false"/>
        <w:numPr>
          <w:ilvl w:val="0"/>
          <w:numId w:val="41"/>
        </w:numPr>
        <w:tabs>
          <w:tab w:val="left" w:pos="360" w:leader="none"/>
        </w:tabs>
        <w:suppressAutoHyphens w:val="true"/>
        <w:spacing w:before="0" w:after="0" w:line="360"/>
        <w:ind w:right="0" w:left="0" w:hanging="360"/>
        <w:jc w:val="both"/>
        <w:rPr>
          <w:rFonts w:ascii="Cambria" w:hAnsi="Cambria" w:cs="Cambria" w:eastAsia="Cambria"/>
          <w:b/>
          <w:color w:val="00000A"/>
          <w:spacing w:val="0"/>
          <w:position w:val="0"/>
          <w:sz w:val="32"/>
          <w:shd w:fill="auto" w:val="clear"/>
        </w:rPr>
      </w:pPr>
      <w:r>
        <w:rPr>
          <w:rFonts w:ascii="Arial" w:hAnsi="Arial" w:cs="Arial" w:eastAsia="Arial"/>
          <w:b/>
          <w:color w:val="000000"/>
          <w:spacing w:val="0"/>
          <w:position w:val="0"/>
          <w:sz w:val="24"/>
          <w:shd w:fill="auto" w:val="clear"/>
        </w:rPr>
        <w:t xml:space="preserve">QUALIFICAÇÃO DA LICITANTE</w:t>
      </w:r>
    </w:p>
    <w:p>
      <w:pPr>
        <w:keepNext w:val="true"/>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0"/>
          <w:shd w:fill="auto" w:val="clear"/>
        </w:rPr>
        <w:t xml:space="preserve">A qualificação técnica da licitante será comprovada através da seguinte documentação:</w:t>
      </w: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0"/>
          <w:shd w:fill="auto" w:val="clear"/>
        </w:rPr>
        <w:t xml:space="preserve">HABILITAÇÃO TECNICO-OPERACIONAL </w:t>
      </w:r>
    </w:p>
    <w:p>
      <w:pPr>
        <w:widowControl w:val="false"/>
        <w:numPr>
          <w:ilvl w:val="0"/>
          <w:numId w:val="45"/>
        </w:numPr>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hanging="261"/>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Certidão comprobatória de Inscrição e regularidade no Conselho de Arquitetura e Urbanismo (CAU) ou do Conselho de Engenharia e Agronomia (CREA) da Empresa e seus respectivos Responsáveis Técnicos com habilitação nos ramos de Arquitetura ou Engenharia Civil, conforme atribuições referentes aos Conselhos pertinentes à categoria profissional;</w:t>
      </w:r>
    </w:p>
    <w:p>
      <w:pPr>
        <w:widowControl w:val="false"/>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2858" w:leader="none"/>
          <w:tab w:val="center" w:pos="4972" w:leader="none"/>
          <w:tab w:val="right" w:pos="9224" w:leader="none"/>
          <w:tab w:val="right" w:pos="9944" w:leader="none"/>
        </w:tabs>
        <w:suppressAutoHyphens w:val="true"/>
        <w:spacing w:before="0" w:after="0" w:line="360"/>
        <w:ind w:right="0" w:left="72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HABILITAÇÃO TECNICO-PROFISSIONAL</w:t>
      </w:r>
    </w:p>
    <w:p>
      <w:pPr>
        <w:widowControl w:val="false"/>
        <w:numPr>
          <w:ilvl w:val="0"/>
          <w:numId w:val="48"/>
        </w:numPr>
        <w:suppressLineNumbers w:val="true"/>
        <w:tabs>
          <w:tab w:val="center" w:pos="5387" w:leader="none"/>
          <w:tab w:val="center" w:pos="5953" w:leader="none"/>
          <w:tab w:val="right" w:pos="10205" w:leader="none"/>
          <w:tab w:val="right" w:pos="11906" w:leader="none"/>
        </w:tabs>
        <w:suppressAutoHyphens w:val="true"/>
        <w:spacing w:before="0" w:after="0" w:line="360"/>
        <w:ind w:right="0" w:left="1701" w:hanging="261"/>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50"/>
        </w:numPr>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0"/>
          <w:spacing w:val="0"/>
          <w:position w:val="0"/>
          <w:sz w:val="24"/>
          <w:shd w:fill="auto" w:val="clear"/>
        </w:rPr>
        <w:t xml:space="preserve">Deverá, NO INÍCIO DO SERVIÇO E DURANTE TODA A SUA EXECUÇÃO, permanecer no quadro de pessoal da empresa um profissional indicado como responsável técnico</w:t>
      </w:r>
    </w:p>
    <w:p>
      <w:pPr>
        <w:widowControl w:val="false"/>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52"/>
        </w:numPr>
        <w:suppressLineNumbers w:val="true"/>
        <w:tabs>
          <w:tab w:val="left" w:pos="360" w:leader="none"/>
        </w:tabs>
        <w:suppressAutoHyphens w:val="true"/>
        <w:spacing w:before="0" w:after="0" w:line="360"/>
        <w:ind w:right="0" w:left="36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A"/>
          <w:spacing w:val="0"/>
          <w:position w:val="0"/>
          <w:sz w:val="24"/>
          <w:shd w:fill="auto" w:val="clear"/>
        </w:rPr>
        <w:t xml:space="preserve">VISTORIA TECNICA</w:t>
      </w:r>
    </w:p>
    <w:p>
      <w:pPr>
        <w:widowControl w:val="false"/>
        <w:suppressLineNumbers w:val="true"/>
        <w:tabs>
          <w:tab w:val="center" w:pos="4252" w:leader="none"/>
          <w:tab w:val="right" w:pos="850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54"/>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Para o correto dimensionamento e elaboração de sua proposta, o licitante poderá realizar vistoria nas instalações, em virtude da exigência requerida para a boa e perfeita realização do objeto deste termo.</w:t>
      </w:r>
    </w:p>
    <w:p>
      <w:pPr>
        <w:widowControl w:val="false"/>
        <w:numPr>
          <w:ilvl w:val="0"/>
          <w:numId w:val="54"/>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 prazo para vistoria iniciar-se-á no dia útil seguinte ao da publicação do Edital, estendendo-se até o dia útil anterior à data prevista para a abertura da sessão pública.</w:t>
      </w:r>
    </w:p>
    <w:p>
      <w:pPr>
        <w:widowControl w:val="false"/>
        <w:numPr>
          <w:ilvl w:val="0"/>
          <w:numId w:val="54"/>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Caso a licitante opte pela não realização da vistoria técnica, esta deverá apresentar declaração formal que a empresa tem pleno conhecimento das condições e peculiaridades do objeto licitado.</w:t>
      </w:r>
    </w:p>
    <w:p>
      <w:pPr>
        <w:widowControl w:val="false"/>
        <w:numPr>
          <w:ilvl w:val="0"/>
          <w:numId w:val="54"/>
        </w:numPr>
        <w:suppressLineNumbers w:val="true"/>
        <w:tabs>
          <w:tab w:val="center" w:pos="1134" w:leader="none"/>
          <w:tab w:val="center" w:pos="4252" w:leader="none"/>
          <w:tab w:val="right" w:pos="8504" w:leader="none"/>
        </w:tabs>
        <w:suppressAutoHyphens w:val="true"/>
        <w:spacing w:before="0" w:after="0" w:line="360"/>
        <w:ind w:right="0" w:left="432" w:hanging="432"/>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Quaisquer informações poderão ser obtidas na SECRETARIA MUNICIPAL DE OBRAS, situada a Avenida 22 de Maio, 7071 – Venda das Pedras – Itaboraí – RJ.</w:t>
      </w:r>
    </w:p>
    <w:p>
      <w:pPr>
        <w:widowControl w:val="false"/>
        <w:suppressLineNumbers w:val="true"/>
        <w:tabs>
          <w:tab w:val="center" w:pos="5387" w:leader="none"/>
          <w:tab w:val="center" w:pos="5953" w:leader="none"/>
          <w:tab w:val="center" w:pos="7654" w:leader="none"/>
          <w:tab w:val="right" w:pos="10205" w:leader="none"/>
          <w:tab w:val="right" w:pos="11906" w:leader="none"/>
        </w:tabs>
        <w:suppressAutoHyphens w:val="true"/>
        <w:spacing w:before="0" w:after="0" w:line="360"/>
        <w:ind w:right="0" w:left="1701" w:firstLine="0"/>
        <w:jc w:val="both"/>
        <w:rPr>
          <w:rFonts w:ascii="Times New Roman" w:hAnsi="Times New Roman" w:cs="Times New Roman" w:eastAsia="Times New Roman"/>
          <w:color w:val="00000A"/>
          <w:spacing w:val="0"/>
          <w:position w:val="0"/>
          <w:sz w:val="24"/>
          <w:shd w:fill="auto" w:val="clear"/>
        </w:rPr>
      </w:pPr>
    </w:p>
    <w:p>
      <w:pPr>
        <w:widowControl w:val="false"/>
        <w:numPr>
          <w:ilvl w:val="0"/>
          <w:numId w:val="56"/>
        </w:numPr>
        <w:suppressLineNumbers w:val="true"/>
        <w:tabs>
          <w:tab w:val="center" w:pos="1985" w:leader="none"/>
          <w:tab w:val="center" w:pos="4252" w:leader="none"/>
          <w:tab w:val="right" w:pos="8504" w:leader="none"/>
        </w:tabs>
        <w:suppressAutoHyphens w:val="true"/>
        <w:spacing w:before="0" w:after="0" w:line="360"/>
        <w:ind w:right="0" w:left="360" w:hanging="360"/>
        <w:jc w:val="both"/>
        <w:rPr>
          <w:rFonts w:ascii="Times New Roman" w:hAnsi="Times New Roman" w:cs="Times New Roman" w:eastAsia="Times New Roman"/>
          <w:color w:val="00000A"/>
          <w:spacing w:val="0"/>
          <w:position w:val="0"/>
          <w:sz w:val="24"/>
          <w:shd w:fill="auto" w:val="clear"/>
        </w:rPr>
      </w:pPr>
      <w:r>
        <w:rPr>
          <w:rFonts w:ascii="Arial" w:hAnsi="Arial" w:cs="Arial" w:eastAsia="Arial"/>
          <w:b/>
          <w:color w:val="000000"/>
          <w:spacing w:val="0"/>
          <w:position w:val="0"/>
          <w:sz w:val="24"/>
          <w:shd w:fill="auto" w:val="clear"/>
        </w:rPr>
        <w:t xml:space="preserve">DO PRAZO DE EXECUÇÃO DO CONTRATO</w:t>
      </w:r>
    </w:p>
    <w:p>
      <w:pPr>
        <w:keepNext w:val="true"/>
        <w:widowControl w:val="false"/>
        <w:suppressAutoHyphens w:val="true"/>
        <w:spacing w:before="0" w:after="0" w:line="360"/>
        <w:ind w:right="0" w:left="0" w:firstLine="708"/>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 prazo de execução do contrato que vier a ser celebrado para a execução do objeto deste Projeto deverá ser fixado em 03 (três) meses renováveis.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ab/>
      </w:r>
      <w:r>
        <w:rPr>
          <w:rFonts w:ascii="Arial" w:hAnsi="Arial" w:cs="Arial" w:eastAsia="Arial"/>
          <w:color w:val="00000A"/>
          <w:spacing w:val="0"/>
          <w:position w:val="0"/>
          <w:sz w:val="24"/>
          <w:shd w:fill="auto" w:val="clear"/>
        </w:rPr>
        <w:t xml:space="preserve">O prazo a que se refere o subitem anterior começará a fluir no 1º (primeiro) dia do recebimento, pela contratada, da autorização formal para o início da execução contratual, a ser emitida pelo Fiscal do Contrato e pelo Ordenador de Despesas.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61"/>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0"/>
          <w:spacing w:val="0"/>
          <w:position w:val="0"/>
          <w:sz w:val="24"/>
          <w:shd w:fill="auto" w:val="clear"/>
        </w:rPr>
        <w:t xml:space="preserve">ORÇAMENTO ESTIMADO</w:t>
      </w:r>
    </w:p>
    <w:p>
      <w:pPr>
        <w:widowControl w:val="false"/>
        <w:suppressAutoHyphens w:val="true"/>
        <w:spacing w:before="0" w:after="0" w:line="360"/>
        <w:ind w:right="0" w:left="0" w:firstLine="709"/>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Os preços utilizados para os serviços objeto deste Projeto Básico foram tomados por base nas tabelas oficiais SINAPI e EMOP, e são os apresentados nos seguintes documentos:</w:t>
      </w:r>
    </w:p>
    <w:p>
      <w:pPr>
        <w:widowControl w:val="false"/>
        <w:suppressAutoHyphens w:val="true"/>
        <w:spacing w:before="0" w:after="0" w:line="360"/>
        <w:ind w:right="0" w:left="0" w:firstLine="360"/>
        <w:jc w:val="both"/>
        <w:rPr>
          <w:rFonts w:ascii="Arial" w:hAnsi="Arial" w:cs="Arial" w:eastAsia="Arial"/>
          <w:color w:val="00000A"/>
          <w:spacing w:val="0"/>
          <w:position w:val="0"/>
          <w:sz w:val="20"/>
          <w:shd w:fill="auto" w:val="clear"/>
        </w:rPr>
      </w:pPr>
    </w:p>
    <w:p>
      <w:pPr>
        <w:widowControl w:val="false"/>
        <w:numPr>
          <w:ilvl w:val="0"/>
          <w:numId w:val="64"/>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2"/>
          <w:shd w:fill="auto" w:val="clear"/>
        </w:rPr>
        <w:t xml:space="preserve">Orçamento Sintético;</w:t>
      </w:r>
    </w:p>
    <w:p>
      <w:pPr>
        <w:widowControl w:val="false"/>
        <w:numPr>
          <w:ilvl w:val="0"/>
          <w:numId w:val="64"/>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Planilha Orçamentária;</w:t>
      </w:r>
    </w:p>
    <w:p>
      <w:pPr>
        <w:widowControl w:val="false"/>
        <w:numPr>
          <w:ilvl w:val="0"/>
          <w:numId w:val="64"/>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Memória de Cálculo;</w:t>
      </w:r>
    </w:p>
    <w:p>
      <w:pPr>
        <w:widowControl w:val="false"/>
        <w:numPr>
          <w:ilvl w:val="0"/>
          <w:numId w:val="64"/>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Cronograma Físico – Financeiro;</w:t>
      </w:r>
    </w:p>
    <w:p>
      <w:pPr>
        <w:widowControl w:val="false"/>
        <w:numPr>
          <w:ilvl w:val="0"/>
          <w:numId w:val="64"/>
        </w:numPr>
        <w:suppressAutoHyphens w:val="true"/>
        <w:spacing w:before="0" w:after="0" w:line="360"/>
        <w:ind w:right="0" w:left="1080" w:hanging="360"/>
        <w:jc w:val="both"/>
        <w:rPr>
          <w:rFonts w:ascii="Calibri" w:hAnsi="Calibri" w:cs="Calibri" w:eastAsia="Calibri"/>
          <w:color w:val="00000A"/>
          <w:spacing w:val="0"/>
          <w:position w:val="0"/>
          <w:sz w:val="22"/>
          <w:shd w:fill="auto" w:val="clear"/>
        </w:rPr>
      </w:pPr>
      <w:r>
        <w:rPr>
          <w:rFonts w:ascii="Arial" w:hAnsi="Arial" w:cs="Arial" w:eastAsia="Arial"/>
          <w:color w:val="00000A"/>
          <w:spacing w:val="0"/>
          <w:position w:val="0"/>
          <w:sz w:val="24"/>
          <w:shd w:fill="auto" w:val="clear"/>
        </w:rPr>
        <w:t xml:space="preserve">Composição do BDI (Benefícios e Despesas Indiretas);</w:t>
      </w:r>
    </w:p>
    <w:p>
      <w:pPr>
        <w:widowControl w:val="false"/>
        <w:suppressAutoHyphens w:val="true"/>
        <w:spacing w:before="0" w:after="0" w:line="360"/>
        <w:ind w:right="0" w:left="708" w:firstLine="0"/>
        <w:jc w:val="both"/>
        <w:rPr>
          <w:rFonts w:ascii="Calibri" w:hAnsi="Calibri" w:cs="Calibri" w:eastAsia="Calibri"/>
          <w:color w:val="00000A"/>
          <w:spacing w:val="0"/>
          <w:position w:val="0"/>
          <w:sz w:val="22"/>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numPr>
          <w:ilvl w:val="0"/>
          <w:numId w:val="67"/>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CONDIÇÕES DE PAGAMENTO</w:t>
      </w:r>
    </w:p>
    <w:p>
      <w:pPr>
        <w:widowControl w:val="false"/>
        <w:suppressAutoHyphens w:val="true"/>
        <w:spacing w:before="0" w:after="0" w:line="360"/>
        <w:ind w:right="0" w:left="360" w:firstLine="0"/>
        <w:jc w:val="both"/>
        <w:rPr>
          <w:rFonts w:ascii="Arial" w:hAnsi="Arial" w:cs="Arial" w:eastAsia="Arial"/>
          <w:color w:val="00000A"/>
          <w:spacing w:val="0"/>
          <w:position w:val="0"/>
          <w:sz w:val="20"/>
          <w:shd w:fill="auto" w:val="clear"/>
        </w:rPr>
      </w:pPr>
    </w:p>
    <w:p>
      <w:pPr>
        <w:widowControl w:val="false"/>
        <w:tabs>
          <w:tab w:val="left" w:pos="851" w:leader="none"/>
        </w:tabs>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Pela execução do contrato que pactuar os serviços, objeto deste Projeto Básico, uma vez obedecido às formalidades legais e contratuais pertinentes, o Município pagará a importância total que vier a ser contratada em </w:t>
      </w:r>
      <w:r>
        <w:rPr>
          <w:rFonts w:ascii="Arial" w:hAnsi="Arial" w:cs="Arial" w:eastAsia="Arial"/>
          <w:b/>
          <w:color w:val="00000A"/>
          <w:spacing w:val="0"/>
          <w:position w:val="0"/>
          <w:sz w:val="24"/>
          <w:shd w:fill="auto" w:val="clear"/>
        </w:rPr>
        <w:t xml:space="preserve">parcelas mensais</w:t>
      </w:r>
      <w:r>
        <w:rPr>
          <w:rFonts w:ascii="Arial" w:hAnsi="Arial" w:cs="Arial" w:eastAsia="Arial"/>
          <w:color w:val="00000A"/>
          <w:spacing w:val="0"/>
          <w:position w:val="0"/>
          <w:sz w:val="24"/>
          <w:shd w:fill="auto" w:val="clear"/>
        </w:rPr>
        <w:t xml:space="preserve"> até o limite máximo estabelecido no “Cronograma Físico-Financeiro”, conforme as quantidades de serviços efetivamente realizados.</w:t>
      </w:r>
    </w:p>
    <w:p>
      <w:pPr>
        <w:widowControl w:val="false"/>
        <w:tabs>
          <w:tab w:val="left" w:pos="851" w:leader="none"/>
        </w:tabs>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As cobranças das parcelas de serviço serão feitas pela Contratada, de acordo com a periodicidade e valores máximos estabelecidos no “Cronograma Físico-Financeiro”, devendo estar acompanhadas dos seguintes documentos:</w:t>
      </w:r>
    </w:p>
    <w:p>
      <w:pPr>
        <w:keepNext w:val="true"/>
        <w:widowControl w:val="false"/>
        <w:numPr>
          <w:ilvl w:val="0"/>
          <w:numId w:val="70"/>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0"/>
          <w:spacing w:val="0"/>
          <w:position w:val="0"/>
          <w:sz w:val="24"/>
          <w:shd w:fill="auto" w:val="clear"/>
        </w:rPr>
        <w:t xml:space="preserve">Check-list preenchido;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Nota Fiscal;</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Guia de recolhimento do FGTS paga;</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Guia de INSS paga;</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Folha de pagamento analítico;</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CND e CRF vigentes;</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Planilha de Medição;</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Relatório Fotográfico dos serviços executados, impresso e em mídia;</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Diário de Obras;</w:t>
      </w:r>
    </w:p>
    <w:p>
      <w:pPr>
        <w:keepNext w:val="true"/>
        <w:widowControl w:val="false"/>
        <w:numPr>
          <w:ilvl w:val="0"/>
          <w:numId w:val="72"/>
        </w:numPr>
        <w:suppressAutoHyphens w:val="true"/>
        <w:spacing w:before="0" w:after="0" w:line="360"/>
        <w:ind w:right="0" w:left="785"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Memória de Cálculo.</w:t>
      </w:r>
    </w:p>
    <w:p>
      <w:pPr>
        <w:keepNext w:val="true"/>
        <w:widowControl w:val="false"/>
        <w:suppressAutoHyphens w:val="true"/>
        <w:spacing w:before="0" w:after="0" w:line="360"/>
        <w:ind w:right="0" w:left="785" w:firstLine="0"/>
        <w:jc w:val="both"/>
        <w:rPr>
          <w:rFonts w:ascii="Arial" w:hAnsi="Arial" w:cs="Arial" w:eastAsia="Arial"/>
          <w:color w:val="00000A"/>
          <w:spacing w:val="0"/>
          <w:position w:val="0"/>
          <w:sz w:val="20"/>
          <w:shd w:fill="auto" w:val="clear"/>
        </w:rPr>
      </w:pP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Os pagamentos serão efetuados pela Prefeitura Municipal de Itaboraí, mediante ao atesto dos serviços, no prazo máximo de 30 (trinta) dias, após a entrega de toda documentação, na SECRETARIA MUNICIPAL DE OBRAS, constante no ITEM 12.</w:t>
      </w: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Nos termos do que dispõe a alínea “d”, Inciso XIV, do Art. 40 da Lei Nacional n.º 8.666/93, ficam estabelecidos os seguintes critérios de penalizações e compensações financeiras:</w:t>
      </w:r>
    </w:p>
    <w:p>
      <w:pPr>
        <w:widowControl w:val="false"/>
        <w:tabs>
          <w:tab w:val="left" w:pos="426" w:leader="none"/>
        </w:tabs>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partir do 1º dia a contar da data do recebimento da Ordem de Início da Execução Contratual a que se refere o ITEM 10, a ser expedida pelo FUNDO MUNICIPAL DE SAÚDE, as medições dos serviços serão efetuadas pela Contratada, levando em conta os serviços efetivamente realizados e serão analisadas pelo Fiscal do Contrato</w:t>
      </w:r>
    </w:p>
    <w:p>
      <w:pPr>
        <w:widowControl w:val="false"/>
        <w:numPr>
          <w:ilvl w:val="0"/>
          <w:numId w:val="75"/>
        </w:numPr>
        <w:tabs>
          <w:tab w:val="left" w:pos="360" w:leader="none"/>
        </w:tabs>
        <w:suppressAutoHyphens w:val="true"/>
        <w:spacing w:before="0" w:after="0" w:line="360"/>
        <w:ind w:right="0" w:left="360"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RECEBIMENTO DO OBJETO CONTRATADO</w:t>
      </w:r>
    </w:p>
    <w:p>
      <w:pPr>
        <w:widowControl w:val="false"/>
        <w:suppressAutoHyphens w:val="true"/>
        <w:spacing w:before="0" w:after="0" w:line="360"/>
        <w:ind w:right="0" w:left="36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Executado o Contrato que decorrer deste projeto o seu objeto deverá ser recebido:</w:t>
      </w:r>
    </w:p>
    <w:p>
      <w:pPr>
        <w:widowControl w:val="false"/>
        <w:numPr>
          <w:ilvl w:val="0"/>
          <w:numId w:val="78"/>
        </w:numPr>
        <w:suppressAutoHyphens w:val="true"/>
        <w:spacing w:before="0" w:after="0" w:line="360"/>
        <w:ind w:right="0" w:left="1428"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Provisoriamente,</w:t>
      </w:r>
      <w:r>
        <w:rPr>
          <w:rFonts w:ascii="Arial" w:hAnsi="Arial" w:cs="Arial" w:eastAsia="Arial"/>
          <w:color w:val="00000A"/>
          <w:spacing w:val="0"/>
          <w:position w:val="0"/>
          <w:sz w:val="24"/>
          <w:shd w:fill="auto" w:val="clear"/>
        </w:rPr>
        <w:t xml:space="preserve"> pelo responsável pelo acompanhamento e fiscalização, mediante termo circunstanciado, assinando pelas partes em até 15 (quinze) dias da comunicação escrita do contratado, acusando o término do serviço.</w:t>
      </w:r>
    </w:p>
    <w:p>
      <w:pPr>
        <w:widowControl w:val="false"/>
        <w:numPr>
          <w:ilvl w:val="0"/>
          <w:numId w:val="78"/>
        </w:numPr>
        <w:suppressAutoHyphens w:val="true"/>
        <w:spacing w:before="0" w:after="0" w:line="360"/>
        <w:ind w:right="0" w:left="1428"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Definitivamente,</w:t>
      </w:r>
      <w:r>
        <w:rPr>
          <w:rFonts w:ascii="Arial" w:hAnsi="Arial" w:cs="Arial" w:eastAsia="Arial"/>
          <w:color w:val="00000A"/>
          <w:spacing w:val="0"/>
          <w:position w:val="0"/>
          <w:sz w:val="24"/>
          <w:shd w:fill="auto" w:val="clear"/>
        </w:rPr>
        <w:t xml:space="preserve"> por comissão designada pela autoridade competente, mediante termo circunstanciado assinado pelas partes, após o decurso de 60 (sessenta) dias de observação que comprove a adequação do objeto aos termos contratuais.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Contratada está obrigada a refazer, às suas expensas, no total ou em parte, os serviços em que se verificarem vícios, defeitos ou imperfeições resultantes de falhas de execução ou dos materiais empregados.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 recebimento provisório ou definitivo do objeto do contrato não exclui a responsabilidade civil pela qualidade dos serviços, nem a ético-profissional, pela perfeita execução do contrato.</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14.   OBRIGAÇÕES DA CONTRATADA</w:t>
      </w:r>
    </w:p>
    <w:p>
      <w:pPr>
        <w:widowControl w:val="false"/>
        <w:suppressLineNumbers w:val="true"/>
        <w:tabs>
          <w:tab w:val="center" w:pos="1713" w:leader="none"/>
          <w:tab w:val="center" w:pos="4612" w:leader="none"/>
          <w:tab w:val="right" w:pos="8864" w:leader="none"/>
          <w:tab w:val="right" w:pos="922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p>
    <w:p>
      <w:pPr>
        <w:widowControl w:val="false"/>
        <w:suppressLineNumbers w:val="true"/>
        <w:tabs>
          <w:tab w:val="center" w:pos="1713" w:leader="none"/>
          <w:tab w:val="center" w:pos="4612" w:leader="none"/>
          <w:tab w:val="right" w:pos="8864" w:leader="none"/>
          <w:tab w:val="right" w:pos="9224" w:leader="none"/>
        </w:tabs>
        <w:suppressAutoHyphens w:val="true"/>
        <w:spacing w:before="0" w:after="0" w:line="360"/>
        <w:ind w:right="0" w:left="360" w:firstLine="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14.1. O Contrato que decorrer deste Projeto deverá estabelecer, para a Contratada, pelo menos as seguintes obrigações:</w:t>
      </w:r>
    </w:p>
    <w:p>
      <w:pPr>
        <w:widowControl w:val="false"/>
        <w:numPr>
          <w:ilvl w:val="0"/>
          <w:numId w:val="83"/>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Observar, na execução dos serviços, as normas e especificações técnicas a que estiver legalmente vinculada, as estabelecidas neste Projeto Básico e no contrato que vier a ser celebrado;</w:t>
      </w:r>
    </w:p>
    <w:p>
      <w:pPr>
        <w:widowControl w:val="false"/>
        <w:numPr>
          <w:ilvl w:val="0"/>
          <w:numId w:val="83"/>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Arcar com todas as despesas decorrentes de eventuais serviços realizados em horários extraordinários (diurno, noturno, domingos e feriados), necessários ao exato cumprimento das obrigações que vierem a ser pactuadas.</w:t>
      </w:r>
    </w:p>
    <w:p>
      <w:pPr>
        <w:widowControl w:val="false"/>
        <w:numPr>
          <w:ilvl w:val="0"/>
          <w:numId w:val="83"/>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Providenciar, junto aos órgãos competentes, sem ônus para o Município, todos os registros, licenças e autorizações necessárias ao exato cumprimento das obrigações que vierem a ser pactuadas;</w:t>
      </w:r>
    </w:p>
    <w:p>
      <w:pPr>
        <w:widowControl w:val="false"/>
        <w:numPr>
          <w:ilvl w:val="0"/>
          <w:numId w:val="83"/>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Fornecer todos os materiais, ferramentas, equipamentos e veículos necessários à execução dos serviços que vierem a ser pactuados, bem como toda a mão-de-obra;</w:t>
      </w:r>
    </w:p>
    <w:p>
      <w:pPr>
        <w:widowControl w:val="false"/>
        <w:numPr>
          <w:ilvl w:val="0"/>
          <w:numId w:val="83"/>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widowControl w:val="false"/>
        <w:numPr>
          <w:ilvl w:val="0"/>
          <w:numId w:val="83"/>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Atender aos pedidos fundamentados do Município para substituir ou afastar quaisquer de seus empregados;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86"/>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widowControl w:val="false"/>
        <w:numPr>
          <w:ilvl w:val="0"/>
          <w:numId w:val="86"/>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widowControl w:val="false"/>
        <w:numPr>
          <w:ilvl w:val="0"/>
          <w:numId w:val="86"/>
        </w:numPr>
        <w:suppressLineNumbers w:val="true"/>
        <w:tabs>
          <w:tab w:val="center" w:pos="1418" w:leader="none"/>
          <w:tab w:val="left" w:pos="1560"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Responder por violação ao direito de uso de materiais, métodos ou processo de execução protegidos por marcas ou patentes, arcando com indenizações, taxas e/ou comissões que forem devidas;</w:t>
      </w:r>
    </w:p>
    <w:p>
      <w:pPr>
        <w:widowControl w:val="false"/>
        <w:numPr>
          <w:ilvl w:val="0"/>
          <w:numId w:val="86"/>
        </w:numPr>
        <w:suppressLineNumbers w:val="true"/>
        <w:tabs>
          <w:tab w:val="center" w:pos="851" w:leader="none"/>
          <w:tab w:val="left" w:pos="1418"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Executar o objeto deste Projeto Básico com zelo, diligência e economia, procedendo sempre de acordo com a melhor técnica aplicável a serviços dessa natureza, </w:t>
      </w:r>
    </w:p>
    <w:p>
      <w:pPr>
        <w:widowControl w:val="false"/>
        <w:numPr>
          <w:ilvl w:val="0"/>
          <w:numId w:val="86"/>
        </w:numPr>
        <w:suppressLineNumbers w:val="true"/>
        <w:tabs>
          <w:tab w:val="center" w:pos="1134" w:leader="none"/>
          <w:tab w:val="left" w:pos="1276"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Acatar as determinações da fiscalização do Município no sentido de substituir, de imediato, os serviços feitos com vícios, defeitos ou imperfeições;</w:t>
      </w:r>
    </w:p>
    <w:p>
      <w:pPr>
        <w:widowControl w:val="false"/>
        <w:numPr>
          <w:ilvl w:val="0"/>
          <w:numId w:val="86"/>
        </w:numPr>
        <w:suppressLineNumbers w:val="true"/>
        <w:tabs>
          <w:tab w:val="center" w:pos="1134" w:leader="none"/>
          <w:tab w:val="righ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widowControl w:val="false"/>
        <w:numPr>
          <w:ilvl w:val="0"/>
          <w:numId w:val="86"/>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92"/>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Responder, por si e por seus sucessores, integralmente e em qualquer caso, por todos os danos e prejuízos, de qualquer natureza, causados por seus empregados ou prepostos ao Município ou a terceiros;</w:t>
      </w:r>
    </w:p>
    <w:p>
      <w:pPr>
        <w:widowControl w:val="false"/>
        <w:numPr>
          <w:ilvl w:val="0"/>
          <w:numId w:val="92"/>
        </w:numPr>
        <w:suppressLineNumbers w:val="true"/>
        <w:tabs>
          <w:tab w:val="center" w:pos="1560" w:leader="none"/>
          <w:tab w:val="righ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Empregar quando da execução dos serviços, até o seu final, profissionais idôneos e habilitados, de acordo com o gabarito técnico indispensável, designando um funcionário que a representará em suas relações com a fiscalização do Município.</w:t>
      </w:r>
    </w:p>
    <w:p>
      <w:pPr>
        <w:widowControl w:val="false"/>
        <w:numPr>
          <w:ilvl w:val="0"/>
          <w:numId w:val="92"/>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durante a execução do contrato, em compatibilidade com as obrigações assumidas, todas as condições e qualificações exigidas para a sua contratação;</w:t>
      </w:r>
    </w:p>
    <w:p>
      <w:pPr>
        <w:widowControl w:val="false"/>
        <w:numPr>
          <w:ilvl w:val="0"/>
          <w:numId w:val="92"/>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Efetuar os serviços objeto deste Projeto Básico obedecendo fiel e integralmente a todas as condições nele estabelecidas, bem como, as instruções e determinações expedidas pela fiscalização do Município;</w:t>
      </w:r>
    </w:p>
    <w:p>
      <w:pPr>
        <w:widowControl w:val="false"/>
        <w:numPr>
          <w:ilvl w:val="0"/>
          <w:numId w:val="92"/>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Aceitar, nas mesmas condições contratuais os acréscimos até 25%, supressões até 25% que se fizerem necessários, do valor inicial, atualizado, do contrato que vier a ser celebrado, conforme estabelece o § 1º, Art. 65 da Lei nº 8.666/93;</w:t>
      </w:r>
    </w:p>
    <w:p>
      <w:pPr>
        <w:widowControl w:val="false"/>
        <w:numPr>
          <w:ilvl w:val="0"/>
          <w:numId w:val="92"/>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widowControl w:val="false"/>
        <w:numPr>
          <w:ilvl w:val="0"/>
          <w:numId w:val="92"/>
        </w:numPr>
        <w:suppressLineNumbers w:val="true"/>
        <w:tabs>
          <w:tab w:val="center"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Fornecer às suas expensas, todos os materiais de proteção e segurança do trabalho, indispensáveis para a execução do Contrato que vier a ser celebrado, em quantidades compatíveis com o número de pessoas empregadas;</w:t>
      </w:r>
    </w:p>
    <w:p>
      <w:pPr>
        <w:widowControl w:val="false"/>
        <w:numPr>
          <w:ilvl w:val="0"/>
          <w:numId w:val="92"/>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99"/>
        </w:numPr>
        <w:suppressLineNumbers w:val="true"/>
        <w:tabs>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no local da administração da execução contratual:</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Livro de Ocorrências Diárias;</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Projetos e planilhas pertinentes a execução do objeto;</w:t>
      </w:r>
    </w:p>
    <w:p>
      <w:pPr>
        <w:widowControl w:val="false"/>
        <w:numPr>
          <w:ilvl w:val="0"/>
          <w:numId w:val="99"/>
        </w:numPr>
        <w:suppressLineNumbers w:val="true"/>
        <w:tabs>
          <w:tab w:val="left" w:pos="1365" w:leader="none"/>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Cópia do contrato e dos documentos que o integram;</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Registro das alterações regularmente autorizadas;</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Arquivo ordenado das notas de serviços, relatórios, pareceres, cópias das correspondências trocadas com a Fiscalização;</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Cronograma Físico-Financeiro;</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Folhas de medições realizadas;</w:t>
      </w:r>
    </w:p>
    <w:p>
      <w:pPr>
        <w:widowControl w:val="false"/>
        <w:numPr>
          <w:ilvl w:val="0"/>
          <w:numId w:val="99"/>
        </w:numPr>
        <w:suppressLineNumbers w:val="true"/>
        <w:tabs>
          <w:tab w:val="right"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Lançar, diariamente, no Livro de Ocorrências, todas as ocorrências relativas à execução dos serviços, tais como anormalidades, chuvas, substituições de empregados, etc.;</w:t>
      </w:r>
    </w:p>
    <w:p>
      <w:pPr>
        <w:widowControl w:val="false"/>
        <w:numPr>
          <w:ilvl w:val="0"/>
          <w:numId w:val="99"/>
        </w:numPr>
        <w:suppressLineNumbers w:val="true"/>
        <w:tabs>
          <w:tab w:val="center" w:pos="1843"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Correrão por conta, responsabilidade e risco da contratada as conseqüências de imprudência, imperícia ou negligência sua e de seus empregados ou prepostos, notadamente:</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Má qualidade dos serviços prestados;</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Violação do direito de propriedade industrial;</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Furto, perda, roubo, deteriorações ou avarias de materiais ou equipamentos;</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Ato ilícito seu, de seus empregados ou de prepostos, que tenham reflexos danosos para o cumprimento da execução contratual;</w:t>
      </w:r>
    </w:p>
    <w:p>
      <w:pPr>
        <w:widowControl w:val="false"/>
        <w:numPr>
          <w:ilvl w:val="0"/>
          <w:numId w:val="99"/>
        </w:numPr>
        <w:suppressLineNumbers w:val="true"/>
        <w:tabs>
          <w:tab w:val="center" w:pos="4252" w:leader="none"/>
          <w:tab w:val="right" w:pos="8504" w:leader="none"/>
        </w:tabs>
        <w:suppressAutoHyphens w:val="true"/>
        <w:spacing w:before="0" w:after="0" w:line="360"/>
        <w:ind w:right="0" w:left="2160" w:hanging="108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Acidentes de qualquer natureza com materiais ou equipamentos, com empregados seus ou com terceiros, na execução dos serviços necessários a execução contratual, ou em decorrência da execução deles;</w:t>
      </w:r>
    </w:p>
    <w:p>
      <w:pPr>
        <w:widowControl w:val="false"/>
        <w:numPr>
          <w:ilvl w:val="0"/>
          <w:numId w:val="99"/>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 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108"/>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Submeter à prévia aprovação do Município, por intermédio do fiscal de execução contratual, qualquer alteração das especificações originalmente pactuadas;</w:t>
      </w:r>
    </w:p>
    <w:p>
      <w:pPr>
        <w:widowControl w:val="false"/>
        <w:numPr>
          <w:ilvl w:val="0"/>
          <w:numId w:val="108"/>
        </w:numPr>
        <w:suppressLineNumbers w:val="true"/>
        <w:tabs>
          <w:tab w:val="center"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Apresentar ao Município, sempre que solicitado, os comprovantes dos recolhimentos devidos ao INSS e FGTS, mediante cópia;</w:t>
      </w:r>
    </w:p>
    <w:p>
      <w:pPr>
        <w:widowControl w:val="false"/>
        <w:numPr>
          <w:ilvl w:val="0"/>
          <w:numId w:val="108"/>
        </w:numPr>
        <w:suppressLineNumbers w:val="true"/>
        <w:tabs>
          <w:tab w:val="left" w:pos="1701" w:leader="none"/>
          <w:tab w:val="center" w:pos="4252" w:leader="none"/>
          <w:tab w:val="right" w:pos="8504" w:leader="none"/>
        </w:tabs>
        <w:suppressAutoHyphens w:val="true"/>
        <w:spacing w:before="0" w:after="0" w:line="360"/>
        <w:ind w:right="0" w:left="144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Comunicar ao fiscal da execução contratual, </w:t>
      </w:r>
      <w:r>
        <w:rPr>
          <w:rFonts w:ascii="Arial" w:hAnsi="Arial" w:cs="Arial" w:eastAsia="Arial"/>
          <w:b/>
          <w:color w:val="00000A"/>
          <w:spacing w:val="0"/>
          <w:position w:val="0"/>
          <w:sz w:val="24"/>
          <w:shd w:fill="auto" w:val="clear"/>
        </w:rPr>
        <w:t xml:space="preserve">no prazo máximo de 48h (quarenta e oito horas),</w:t>
      </w:r>
      <w:r>
        <w:rPr>
          <w:rFonts w:ascii="Arial" w:hAnsi="Arial" w:cs="Arial" w:eastAsia="Arial"/>
          <w:color w:val="00000A"/>
          <w:spacing w:val="0"/>
          <w:position w:val="0"/>
          <w:sz w:val="24"/>
          <w:shd w:fill="auto" w:val="clear"/>
        </w:rPr>
        <w:t xml:space="preserve"> os motivos de força maior que possam justificar a interrupção dos serviços.</w:t>
      </w:r>
    </w:p>
    <w:p>
      <w:pPr>
        <w:widowControl w:val="false"/>
        <w:numPr>
          <w:ilvl w:val="0"/>
          <w:numId w:val="108"/>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widowControl w:val="false"/>
        <w:numPr>
          <w:ilvl w:val="0"/>
          <w:numId w:val="108"/>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Quaisquer erros ou imperícias na execução do contrato, constatados pelo Município, obrigarão a contratada, à sua conta e risco, a repor as parcelas de serviços impugnados, sem prejuízo de Ação Regressiva contra quem tiver dado causa;</w:t>
      </w:r>
    </w:p>
    <w:p>
      <w:pPr>
        <w:widowControl w:val="false"/>
        <w:numPr>
          <w:ilvl w:val="0"/>
          <w:numId w:val="108"/>
        </w:numPr>
        <w:suppressLineNumbers w:val="true"/>
        <w:tabs>
          <w:tab w:val="center" w:pos="993" w:leader="none"/>
          <w:tab w:val="center" w:pos="4252" w:leader="none"/>
          <w:tab w:val="right" w:pos="8504" w:leader="none"/>
        </w:tabs>
        <w:suppressAutoHyphens w:val="true"/>
        <w:spacing w:before="0" w:after="0" w:line="360"/>
        <w:ind w:right="0" w:left="1080" w:hanging="720"/>
        <w:jc w:val="both"/>
        <w:rPr>
          <w:rFonts w:ascii="Times New Roman" w:hAnsi="Times New Roman" w:cs="Times New Roman" w:eastAsia="Times New Roman"/>
          <w:color w:val="00000A"/>
          <w:spacing w:val="0"/>
          <w:position w:val="0"/>
          <w:sz w:val="24"/>
          <w:shd w:fill="auto" w:val="clear"/>
        </w:rPr>
      </w:pPr>
      <w:r>
        <w:rPr>
          <w:rFonts w:ascii="Arial" w:hAnsi="Arial" w:cs="Arial" w:eastAsia="Arial"/>
          <w:color w:val="00000A"/>
          <w:spacing w:val="0"/>
          <w:position w:val="0"/>
          <w:sz w:val="24"/>
          <w:shd w:fill="auto" w:val="clear"/>
        </w:rPr>
        <w:t xml:space="preserve">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widowControl w:val="false"/>
        <w:suppressAutoHyphens w:val="true"/>
        <w:spacing w:before="0" w:after="0" w:line="360"/>
        <w:ind w:right="0" w:left="86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15.  SANÇÕES ADMINISTRATIVAS</w:t>
      </w:r>
    </w:p>
    <w:p>
      <w:pPr>
        <w:widowControl w:val="false"/>
        <w:suppressAutoHyphens w:val="true"/>
        <w:spacing w:before="0" w:after="0" w:line="360"/>
        <w:ind w:right="0" w:left="50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ab/>
      </w:r>
      <w:r>
        <w:rPr>
          <w:rFonts w:ascii="Arial" w:hAnsi="Arial" w:cs="Arial" w:eastAsia="Arial"/>
          <w:color w:val="00000A"/>
          <w:spacing w:val="0"/>
          <w:position w:val="0"/>
          <w:sz w:val="24"/>
          <w:shd w:fill="auto" w:val="clear"/>
        </w:rPr>
        <w:t xml:space="preserve">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widowControl w:val="false"/>
        <w:numPr>
          <w:ilvl w:val="0"/>
          <w:numId w:val="115"/>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Advertência:</w:t>
      </w:r>
    </w:p>
    <w:p>
      <w:pPr>
        <w:widowControl w:val="false"/>
        <w:numPr>
          <w:ilvl w:val="0"/>
          <w:numId w:val="115"/>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118"/>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Multa poderá ser aplicada pela Secretaria Municipal de Obras, quando do cometimento das seguintes infrações:</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Não cumprimento no todo ou em parte do contido neste projeto;</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Falta de apólice de seguro obrigatório, quando for o caso;</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Desautorizar ordens ou recusar documentos da fiscalização;</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Descumprir, na execução dos serviços, as especificações técnicas estabelecidas neste projeto, bem como em qualquer norma técnica oficial vinculante;</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observar, na execução dos serviços exigências das legislações do Município, do Estado ou Federal;</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Manutenção em serviço de empregados cujo afastamento tenha sido exigido pela Fiscalização, na forma prevista no contrato;</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Constatação da ingestão de bebidas alcoólicas e uso de narcóticos por servidores da contratada, quando em serviço; </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cumprir, sem motivo justificado, os prazos parciais ou totais pactuados;</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Manter servidor no horário de trabalho sem o uniforme estabelecido;</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Incontinência pública de qualquer preposto da Contratada;</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apresentar à fiscalização da execução contratual, quando solicitada, documentação exigida por lei;</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Não fixar em local regulamentar ou manter encobertos documentos cuja exibição seja exigível por Lei;</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designar preposto para acompanhar a execução da obra, nos termos do disposto no art. 68 da Lei Nacional nº 8.666/93;</w:t>
      </w:r>
    </w:p>
    <w:p>
      <w:pPr>
        <w:widowControl w:val="false"/>
        <w:numPr>
          <w:ilvl w:val="0"/>
          <w:numId w:val="118"/>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fornecer uniformes, calçados padronizados e equipamentos de proteção individual, conforme exigências das leis trabalhistas;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promover a identificação de seus empregados na forma que vier a ser estabelecida pela fiscalização;</w:t>
      </w: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cumprir qualquer determinação da Lei n.º 6.514, de 22 de dezembro de 1997, e das demais normas que regulamentam a segurança e medicina do trabalho, aplicáveis aos serviços ou obras objeto deste Projeto;</w:t>
      </w: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Deixar de disponibilizar quaisquer equipamentos, instrumentos, ferramentas ou materiais necessários à realização dos serviços ou obras, cuja falta possa a vir a prejudicar o regular andamento da execução contratual;</w:t>
      </w: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Desfazer-se de entulhos e rejeitos dos serviços ou obras sem a observância das normas legais que disciplinam essa prática, principalmente ao prescrito na Resolução CONAMA n.º 307.</w:t>
      </w:r>
    </w:p>
    <w:p>
      <w:pPr>
        <w:widowControl w:val="false"/>
        <w:numPr>
          <w:ilvl w:val="0"/>
          <w:numId w:val="12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contratada será penalizada com multas pecuniárias no valor correspondente até 5% (cinco por cento), sobre o valor global estimado do contrato que vier a ser pactuado, de acordo com a inflação cometida a critério da fiscalização.</w:t>
      </w:r>
    </w:p>
    <w:p>
      <w:pPr>
        <w:widowControl w:val="false"/>
        <w:numPr>
          <w:ilvl w:val="0"/>
          <w:numId w:val="122"/>
        </w:numPr>
        <w:suppressAutoHyphens w:val="true"/>
        <w:spacing w:before="0" w:after="0" w:line="360"/>
        <w:ind w:right="0" w:left="86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Declaração de inidoneidade.A pena de declaração de inidoneidade aplicar-se-á nos casos de:</w:t>
      </w: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Condenação criminal de qualquer diretor, sócio-gerente ou procurador com poderes de gestão e decisão em nome da empresa contratada, por crime doloso contra a vida, transitada em julgado, desde que não seja imediatamente afastado;</w:t>
      </w: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Prática de atos ilícitos visando a frustrar os objetivos da licitação;</w:t>
      </w:r>
    </w:p>
    <w:p>
      <w:pPr>
        <w:widowControl w:val="false"/>
        <w:numPr>
          <w:ilvl w:val="0"/>
          <w:numId w:val="122"/>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numPr>
          <w:ilvl w:val="0"/>
          <w:numId w:val="127"/>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widowControl w:val="false"/>
        <w:numPr>
          <w:ilvl w:val="0"/>
          <w:numId w:val="127"/>
        </w:numPr>
        <w:suppressAutoHyphens w:val="true"/>
        <w:spacing w:before="0" w:after="0" w:line="360"/>
        <w:ind w:right="0" w:left="1582"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Pela inexecução total ou parcial do contrato de acordo com o art. 87, iv da lei 8666/93.</w:t>
      </w:r>
    </w:p>
    <w:p>
      <w:pPr>
        <w:widowControl w:val="false"/>
        <w:suppressAutoHyphens w:val="true"/>
        <w:spacing w:before="0" w:after="0" w:line="360"/>
        <w:ind w:right="0" w:left="1582" w:firstLine="0"/>
        <w:jc w:val="both"/>
        <w:rPr>
          <w:rFonts w:ascii="Arial" w:hAnsi="Arial" w:cs="Arial" w:eastAsia="Arial"/>
          <w:color w:val="00000A"/>
          <w:spacing w:val="0"/>
          <w:position w:val="0"/>
          <w:sz w:val="20"/>
          <w:shd w:fill="auto" w:val="clear"/>
        </w:rPr>
      </w:pPr>
    </w:p>
    <w:p>
      <w:pPr>
        <w:widowControl w:val="false"/>
        <w:numPr>
          <w:ilvl w:val="0"/>
          <w:numId w:val="129"/>
        </w:numPr>
        <w:suppressAutoHyphens w:val="true"/>
        <w:spacing w:before="0" w:after="0" w:line="360"/>
        <w:ind w:right="0" w:left="426" w:hanging="36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  OUTRAS CONSIDERAÇÕES SOBRE INFRAÇÕES</w:t>
      </w:r>
    </w:p>
    <w:p>
      <w:pPr>
        <w:widowControl w:val="false"/>
        <w:suppressAutoHyphens w:val="true"/>
        <w:spacing w:before="0" w:after="0" w:line="360"/>
        <w:ind w:right="0" w:left="426"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Cometidas, simultaneamente, duas ou mais infrações, aplicar-se-á a penalidade correspondente a cada uma delas.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Havendo reincidência, quando a mesma infração for cometida pela Contratada no período de 2 (dois) meses, a pena pecuniária correspondente será acrescida de mais 5 % (cinco), sobre o valor estabelecido.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Autuada a infração a Contratada será formalmente notificada e receberá a segunda via do auto de infração em até 2 (dois) dias.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De cada infração caberá recurso, a ser interposto no prazo de 05 (cinco) dias úteis, a contar da notificação, com efeito suspensivo.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Os recursos de infrações serão julgados por Comissão designada pela Secretaria Municipal de Obras, com número mínimo de 2 (dois) membros efetivos e igual número de suplentes;</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Da decisão denegatória da Comissão cabe recurso a autoridade máxima do Município, ainda com efeito suspensivo além de obrigatoriedade de caução, correspondente ao valor da multa, no prazo de 5 (cinco) dias, a contar do conhecimento da denegação recurso.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Contratada terá o prazo de 5 (cinco) dias para o pagamento da multa, contados do recebimento da notificação da aplicação da mesma, se não houver apresentado recurso no prazo estabelecido, ou do trânsito em julgado do recurso interposto;</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A autuação da infração não desobriga à Contratada de sanar imediatamente a falta que lhe deu origem.</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18.  PLANTAS, PLANILHAS E RELATÓRIO QUE COMPÕE O PROJETO</w:t>
      </w:r>
    </w:p>
    <w:p>
      <w:pPr>
        <w:widowControl w:val="false"/>
        <w:suppressAutoHyphens w:val="true"/>
        <w:spacing w:before="0" w:after="0" w:line="360"/>
        <w:ind w:right="0" w:left="284" w:firstLine="0"/>
        <w:jc w:val="left"/>
        <w:rPr>
          <w:rFonts w:ascii="Arial" w:hAnsi="Arial" w:cs="Arial" w:eastAsia="Arial"/>
          <w:color w:val="00000A"/>
          <w:spacing w:val="0"/>
          <w:position w:val="0"/>
          <w:sz w:val="20"/>
          <w:shd w:fill="auto" w:val="clear"/>
        </w:rPr>
      </w:pPr>
    </w:p>
    <w:p>
      <w:pPr>
        <w:widowControl w:val="false"/>
        <w:numPr>
          <w:ilvl w:val="0"/>
          <w:numId w:val="136"/>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Memoriais Descritivos;</w:t>
      </w:r>
    </w:p>
    <w:p>
      <w:pPr>
        <w:widowControl w:val="false"/>
        <w:numPr>
          <w:ilvl w:val="0"/>
          <w:numId w:val="136"/>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Orçamento Sintético;</w:t>
      </w:r>
    </w:p>
    <w:p>
      <w:pPr>
        <w:widowControl w:val="false"/>
        <w:numPr>
          <w:ilvl w:val="0"/>
          <w:numId w:val="136"/>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Orçamento Analítico;</w:t>
      </w:r>
    </w:p>
    <w:p>
      <w:pPr>
        <w:widowControl w:val="false"/>
        <w:numPr>
          <w:ilvl w:val="0"/>
          <w:numId w:val="136"/>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Memoriais de Cálculo;</w:t>
      </w:r>
    </w:p>
    <w:p>
      <w:pPr>
        <w:widowControl w:val="false"/>
        <w:numPr>
          <w:ilvl w:val="0"/>
          <w:numId w:val="136"/>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Composição de BDI (Benefícios e despesas indiretas);</w:t>
      </w:r>
    </w:p>
    <w:p>
      <w:pPr>
        <w:widowControl w:val="false"/>
        <w:numPr>
          <w:ilvl w:val="0"/>
          <w:numId w:val="136"/>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Pranchas 1.0;</w:t>
      </w:r>
    </w:p>
    <w:p>
      <w:pPr>
        <w:widowControl w:val="false"/>
        <w:numPr>
          <w:ilvl w:val="0"/>
          <w:numId w:val="136"/>
        </w:numPr>
        <w:suppressAutoHyphens w:val="true"/>
        <w:spacing w:before="0" w:after="0" w:line="360"/>
        <w:ind w:right="0" w:left="720" w:hanging="36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 xml:space="preserve"> Composição de Custo Unitário de Serviços</w:t>
      </w:r>
    </w:p>
    <w:p>
      <w:pPr>
        <w:widowControl w:val="false"/>
        <w:suppressAutoHyphens w:val="true"/>
        <w:spacing w:before="0" w:after="0" w:line="360"/>
        <w:ind w:right="0" w:left="0" w:firstLine="709"/>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r>
        <w:rPr>
          <w:rFonts w:ascii="Arial" w:hAnsi="Arial" w:cs="Arial" w:eastAsia="Arial"/>
          <w:b/>
          <w:color w:val="00000A"/>
          <w:spacing w:val="0"/>
          <w:position w:val="0"/>
          <w:sz w:val="24"/>
          <w:shd w:fill="auto" w:val="clear"/>
        </w:rPr>
        <w:t xml:space="preserve">19.   DAS DEFINIÇÕES GERAIS:</w:t>
      </w:r>
    </w:p>
    <w:p>
      <w:pPr>
        <w:widowControl w:val="false"/>
        <w:suppressAutoHyphens w:val="true"/>
        <w:spacing w:before="0" w:after="0" w:line="360"/>
        <w:ind w:right="0" w:left="142" w:firstLine="0"/>
        <w:jc w:val="both"/>
        <w:rPr>
          <w:rFonts w:ascii="Arial" w:hAnsi="Arial" w:cs="Arial" w:eastAsia="Arial"/>
          <w:color w:val="00000A"/>
          <w:spacing w:val="0"/>
          <w:position w:val="0"/>
          <w:sz w:val="20"/>
          <w:shd w:fill="auto" w:val="clear"/>
        </w:rPr>
      </w:pP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CONTRATANTE: PREFEITURA MUNICIPAL DE ITABORAÍ</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CONTRATADA: EMPRESA VENCEDORA DO CERTAME LICITATÓRIO.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Fiscal de Contrato – preposto designado pela CONTRATANTE, sendo profissional devidamente habilitado, engenheiro civil ou arquiteto, inerente a acompanhar o objeto contratado, para exercer a fiscalização do contrato.</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Diário de Obras: Rol de documentos devidamente arquivados em ordem cronológica onde serão registrados os eventos relevantes ocorridos durante a obra.</w:t>
      </w:r>
    </w:p>
    <w:p>
      <w:pPr>
        <w:widowControl w:val="false"/>
        <w:suppressAutoHyphens w:val="true"/>
        <w:spacing w:before="0" w:after="0" w:line="360"/>
        <w:ind w:right="0" w:left="0" w:firstLine="0"/>
        <w:jc w:val="both"/>
        <w:rPr>
          <w:rFonts w:ascii="Arial" w:hAnsi="Arial" w:cs="Arial" w:eastAsia="Arial"/>
          <w:color w:val="00000A"/>
          <w:spacing w:val="0"/>
          <w:position w:val="0"/>
          <w:sz w:val="20"/>
          <w:shd w:fill="auto" w:val="clear"/>
        </w:rPr>
      </w:pPr>
      <w:r>
        <w:rPr>
          <w:rFonts w:ascii="Arial" w:hAnsi="Arial" w:cs="Arial" w:eastAsia="Arial"/>
          <w:color w:val="00000A"/>
          <w:spacing w:val="0"/>
          <w:position w:val="0"/>
          <w:sz w:val="24"/>
          <w:shd w:fill="auto" w:val="clear"/>
        </w:rPr>
        <w:tab/>
        <w:t xml:space="preserve">Salientamos que os itens 1; 2; 3; 6; 12; 14; 15; 17 e 19 são de responsabilidade do Secretário Municipal de Saúde (Júlio Cézar de Oliveira Ambrósio) e os itens 4; 5; 7; 8; 9; 10;11; 13; 14; 18 e 19 são de responsabilidade do Engenheiro Civil (Renan Barbosa Simões).</w:t>
      </w: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left"/>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center"/>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360"/>
        <w:ind w:right="0" w:left="0" w:firstLine="0"/>
        <w:jc w:val="both"/>
        <w:rPr>
          <w:rFonts w:ascii="Times New Roman" w:hAnsi="Times New Roman" w:cs="Times New Roman" w:eastAsia="Times New Roman"/>
          <w:color w:val="00000A"/>
          <w:spacing w:val="0"/>
          <w:position w:val="0"/>
          <w:sz w:val="24"/>
          <w:shd w:fill="auto" w:val="clear"/>
        </w:rPr>
      </w:pPr>
    </w:p>
    <w:p>
      <w:pPr>
        <w:widowControl w:val="false"/>
        <w:suppressAutoHyphens w:val="true"/>
        <w:spacing w:before="0" w:after="0" w:line="240"/>
        <w:ind w:right="0" w:left="0" w:firstLine="0"/>
        <w:jc w:val="center"/>
        <w:rPr>
          <w:rFonts w:ascii="Times New Roman" w:hAnsi="Times New Roman" w:cs="Times New Roman" w:eastAsia="Times New Roman"/>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num w:numId="4">
    <w:abstractNumId w:val="198"/>
  </w:num>
  <w:num w:numId="6">
    <w:abstractNumId w:val="192"/>
  </w:num>
  <w:num w:numId="9">
    <w:abstractNumId w:val="186"/>
  </w:num>
  <w:num w:numId="13">
    <w:abstractNumId w:val="180"/>
  </w:num>
  <w:num w:numId="20">
    <w:abstractNumId w:val="174"/>
  </w:num>
  <w:num w:numId="23">
    <w:abstractNumId w:val="168"/>
  </w:num>
  <w:num w:numId="27">
    <w:abstractNumId w:val="162"/>
  </w:num>
  <w:num w:numId="33">
    <w:abstractNumId w:val="156"/>
  </w:num>
  <w:num w:numId="38">
    <w:abstractNumId w:val="150"/>
  </w:num>
  <w:num w:numId="41">
    <w:abstractNumId w:val="144"/>
  </w:num>
  <w:num w:numId="45">
    <w:abstractNumId w:val="138"/>
  </w:num>
  <w:num w:numId="48">
    <w:abstractNumId w:val="132"/>
  </w:num>
  <w:num w:numId="50">
    <w:abstractNumId w:val="126"/>
  </w:num>
  <w:num w:numId="52">
    <w:abstractNumId w:val="120"/>
  </w:num>
  <w:num w:numId="54">
    <w:abstractNumId w:val="114"/>
  </w:num>
  <w:num w:numId="56">
    <w:abstractNumId w:val="108"/>
  </w:num>
  <w:num w:numId="61">
    <w:abstractNumId w:val="102"/>
  </w:num>
  <w:num w:numId="64">
    <w:abstractNumId w:val="96"/>
  </w:num>
  <w:num w:numId="67">
    <w:abstractNumId w:val="90"/>
  </w:num>
  <w:num w:numId="70">
    <w:abstractNumId w:val="84"/>
  </w:num>
  <w:num w:numId="72">
    <w:abstractNumId w:val="78"/>
  </w:num>
  <w:num w:numId="75">
    <w:abstractNumId w:val="72"/>
  </w:num>
  <w:num w:numId="78">
    <w:abstractNumId w:val="66"/>
  </w:num>
  <w:num w:numId="83">
    <w:abstractNumId w:val="60"/>
  </w:num>
  <w:num w:numId="86">
    <w:abstractNumId w:val="54"/>
  </w:num>
  <w:num w:numId="92">
    <w:abstractNumId w:val="48"/>
  </w:num>
  <w:num w:numId="99">
    <w:abstractNumId w:val="42"/>
  </w:num>
  <w:num w:numId="108">
    <w:abstractNumId w:val="36"/>
  </w:num>
  <w:num w:numId="115">
    <w:abstractNumId w:val="30"/>
  </w:num>
  <w:num w:numId="118">
    <w:abstractNumId w:val="24"/>
  </w:num>
  <w:num w:numId="122">
    <w:abstractNumId w:val="18"/>
  </w:num>
  <w:num w:numId="127">
    <w:abstractNumId w:val="12"/>
  </w:num>
  <w:num w:numId="129">
    <w:abstractNumId w:val="6"/>
  </w:num>
  <w:num w:numId="13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