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png" ContentType="image/png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31"/>
        <w:ind w:hanging="0" w:left="750" w:right="0"/>
      </w:pPr>
      <w:r>
        <w:rPr/>
      </w:r>
    </w:p>
    <w:p>
      <w:pPr>
        <w:pStyle w:val="style35"/>
        <w:tabs>
          <w:tab w:leader="none" w:pos="2565" w:val="left"/>
        </w:tabs>
        <w:spacing w:line="360" w:lineRule="auto"/>
        <w:ind w:hanging="0" w:left="0" w:right="0"/>
        <w:jc w:val="center"/>
      </w:pPr>
      <w:r>
        <w:rPr>
          <w:rFonts w:ascii="Calibri" w:cs="Calibri" w:hAnsi="Calibri"/>
          <w:b/>
          <w:color w:val="000000"/>
          <w:sz w:val="22"/>
          <w:szCs w:val="22"/>
        </w:rPr>
        <w:t xml:space="preserve">ANEXO VIII – PROJETO BÁSICO </w:t>
      </w:r>
    </w:p>
    <w:p>
      <w:pPr>
        <w:pStyle w:val="style35"/>
        <w:tabs>
          <w:tab w:leader="none" w:pos="2565" w:val="left"/>
        </w:tabs>
        <w:spacing w:line="360" w:lineRule="auto"/>
        <w:ind w:hanging="0" w:left="0" w:right="0"/>
        <w:jc w:val="center"/>
      </w:pPr>
      <w:r>
        <w:rPr/>
      </w:r>
    </w:p>
    <w:p>
      <w:pPr>
        <w:pStyle w:val="style31"/>
        <w:numPr>
          <w:ilvl w:val="0"/>
          <w:numId w:val="1"/>
        </w:numPr>
        <w:spacing w:after="200" w:before="0"/>
        <w:contextualSpacing/>
      </w:pPr>
      <w:r>
        <w:rPr>
          <w:b/>
        </w:rPr>
        <w:t>OBJETO</w:t>
      </w:r>
    </w:p>
    <w:p>
      <w:pPr>
        <w:pStyle w:val="style0"/>
        <w:jc w:val="both"/>
      </w:pPr>
      <w:r>
        <w:rPr>
          <w:rFonts w:cs="Calibri"/>
        </w:rPr>
        <w:t>Contratação de empresa especializada no fornecimento de refeições, sob demanda, para profissionais que estarão participando das campanhas de vacinação realizadas pela Secretaria Municipal de Saúde de Itaboraí/RJ de janeiro a dezembro de 2020, conforme especificações abaixo relacionadas:</w:t>
      </w:r>
    </w:p>
    <w:p>
      <w:pPr>
        <w:pStyle w:val="style31"/>
        <w:numPr>
          <w:ilvl w:val="0"/>
          <w:numId w:val="1"/>
        </w:numPr>
        <w:spacing w:after="200" w:before="0"/>
        <w:contextualSpacing/>
      </w:pPr>
      <w:r>
        <w:rPr>
          <w:b/>
        </w:rPr>
        <w:t>OBJETIVO</w:t>
      </w:r>
    </w:p>
    <w:p>
      <w:pPr>
        <w:pStyle w:val="style0"/>
        <w:jc w:val="both"/>
      </w:pPr>
      <w:r>
        <w:rPr>
          <w:rFonts w:cs="Calibri"/>
        </w:rPr>
        <w:t>Esta contratação se fará necessário para viabilizar refeições aos profissionais do Município convocados à participação nas campanhas de vacinação. Os serviços prestados serão de fornecimento de refeições (almoço/lanche) para grupo de 2500 profissionais, divididas entre 05 (cinco) campanhas descritas neste termo, conforme especificações técnicas neste Termo de Referência (</w:t>
      </w:r>
      <w:r>
        <w:rPr>
          <w:rFonts w:cs="Calibri"/>
          <w:b/>
        </w:rPr>
        <w:t>TR</w:t>
      </w:r>
      <w:r>
        <w:rPr>
          <w:rFonts w:cs="Calibri"/>
        </w:rPr>
        <w:t>).</w:t>
      </w:r>
    </w:p>
    <w:p>
      <w:pPr>
        <w:pStyle w:val="style0"/>
        <w:numPr>
          <w:ilvl w:val="0"/>
          <w:numId w:val="6"/>
        </w:numPr>
        <w:spacing w:after="0" w:before="0"/>
        <w:contextualSpacing w:val="false"/>
        <w:jc w:val="both"/>
      </w:pPr>
      <w:r>
        <w:rPr>
          <w:rFonts w:cs="Calibri"/>
          <w:b/>
        </w:rPr>
        <w:t>Evento I</w:t>
      </w:r>
      <w:r>
        <w:rPr>
          <w:rFonts w:cs="Calibri"/>
        </w:rPr>
        <w:t xml:space="preserve"> - Fevereiro - Campanha Nacional contra Sarampo 1° etapa</w:t>
      </w:r>
    </w:p>
    <w:p>
      <w:pPr>
        <w:pStyle w:val="style0"/>
        <w:numPr>
          <w:ilvl w:val="0"/>
          <w:numId w:val="6"/>
        </w:numPr>
        <w:spacing w:after="0" w:before="0"/>
        <w:contextualSpacing w:val="false"/>
        <w:jc w:val="both"/>
      </w:pPr>
      <w:r>
        <w:rPr>
          <w:rFonts w:cs="Calibri"/>
          <w:b/>
        </w:rPr>
        <w:t>Evento II</w:t>
      </w:r>
      <w:r>
        <w:rPr>
          <w:rFonts w:cs="Calibri"/>
        </w:rPr>
        <w:t xml:space="preserve"> - maio  - Campanha Nacional contra Gripe.</w:t>
      </w:r>
    </w:p>
    <w:p>
      <w:pPr>
        <w:pStyle w:val="style0"/>
        <w:numPr>
          <w:ilvl w:val="0"/>
          <w:numId w:val="6"/>
        </w:numPr>
        <w:spacing w:after="0" w:before="0"/>
        <w:contextualSpacing w:val="false"/>
        <w:jc w:val="both"/>
      </w:pPr>
      <w:r>
        <w:rPr>
          <w:rFonts w:cs="Calibri"/>
          <w:b/>
        </w:rPr>
        <w:t>Evento III</w:t>
      </w:r>
      <w:r>
        <w:rPr>
          <w:rFonts w:cs="Calibri"/>
        </w:rPr>
        <w:t xml:space="preserve"> - Agosto – Campanha Nacional contra Sarampo 2° etapa.</w:t>
      </w:r>
    </w:p>
    <w:p>
      <w:pPr>
        <w:pStyle w:val="style0"/>
        <w:numPr>
          <w:ilvl w:val="0"/>
          <w:numId w:val="6"/>
        </w:numPr>
        <w:spacing w:after="0" w:before="0"/>
        <w:contextualSpacing w:val="false"/>
        <w:jc w:val="both"/>
      </w:pPr>
      <w:r>
        <w:rPr>
          <w:rFonts w:cs="Calibri"/>
          <w:b/>
        </w:rPr>
        <w:t>Evento IV</w:t>
      </w:r>
      <w:r>
        <w:rPr>
          <w:rFonts w:cs="Calibri"/>
        </w:rPr>
        <w:t xml:space="preserve"> - Setembro – Campanha Nacional Contra de Multivacinação</w:t>
      </w:r>
    </w:p>
    <w:p>
      <w:pPr>
        <w:pStyle w:val="style0"/>
        <w:numPr>
          <w:ilvl w:val="0"/>
          <w:numId w:val="6"/>
        </w:numPr>
        <w:spacing w:after="240" w:before="0"/>
        <w:contextualSpacing w:val="false"/>
        <w:jc w:val="both"/>
      </w:pPr>
      <w:r>
        <w:rPr>
          <w:rFonts w:cs="Calibri"/>
          <w:b/>
        </w:rPr>
        <w:t>Evento V</w:t>
      </w:r>
      <w:r>
        <w:rPr>
          <w:rFonts w:cs="Calibri"/>
        </w:rPr>
        <w:t xml:space="preserve"> - outubro – Campanha Nacional Contra Raiva Animal.   </w:t>
      </w:r>
    </w:p>
    <w:p>
      <w:pPr>
        <w:pStyle w:val="style0"/>
        <w:spacing w:after="240" w:before="0"/>
        <w:contextualSpacing w:val="false"/>
      </w:pPr>
      <w:r>
        <w:rPr/>
      </w:r>
    </w:p>
    <w:p>
      <w:pPr>
        <w:pStyle w:val="style31"/>
        <w:numPr>
          <w:ilvl w:val="0"/>
          <w:numId w:val="1"/>
        </w:numPr>
        <w:spacing w:after="200" w:before="0"/>
        <w:contextualSpacing/>
      </w:pPr>
      <w:r>
        <w:rPr>
          <w:b/>
        </w:rPr>
        <w:t>JUSTIFICATIVA</w:t>
      </w:r>
    </w:p>
    <w:p>
      <w:pPr>
        <w:pStyle w:val="style31"/>
        <w:numPr>
          <w:ilvl w:val="0"/>
          <w:numId w:val="2"/>
        </w:numPr>
        <w:jc w:val="both"/>
      </w:pPr>
      <w:r>
        <w:rPr>
          <w:rFonts w:cs="Calibri"/>
        </w:rPr>
        <w:t>O Programa Nacional de Imunizações (PNI) organiza toda a política nacional de vacinação da população brasileira e tem como missão o controle, a erradicação e a eliminação de doenças imunopreveníveis. É considerada uma das principais e mais relevantes intervenções em saúde pública no Brasil, em especial pelo importante impacto obtido na redução de doenças nas últimas décadas;</w:t>
      </w:r>
    </w:p>
    <w:p>
      <w:pPr>
        <w:pStyle w:val="style31"/>
        <w:numPr>
          <w:ilvl w:val="0"/>
          <w:numId w:val="2"/>
        </w:numPr>
        <w:jc w:val="both"/>
      </w:pPr>
      <w:r>
        <w:rPr>
          <w:rFonts w:cs="Calibri"/>
        </w:rPr>
        <w:t>Os principais aliados do PNI no âmbito do SUS são as secretarias estaduais e municipais de saúde;</w:t>
      </w:r>
    </w:p>
    <w:p>
      <w:pPr>
        <w:pStyle w:val="style31"/>
        <w:numPr>
          <w:ilvl w:val="0"/>
          <w:numId w:val="2"/>
        </w:numPr>
        <w:jc w:val="both"/>
      </w:pPr>
      <w:r>
        <w:rPr>
          <w:rFonts w:cs="Calibri"/>
        </w:rPr>
        <w:t>As diretrizes e responsabilidades para a execução das ações de vigilância em saúde, entre as quais se incluem as ações de vacinação, estão definidas em legislação nacional que aponta que a gestão das ações é compartilhada pela União, pelos estados, pelo Distrito Federal e pelos municípios;</w:t>
      </w:r>
    </w:p>
    <w:p>
      <w:pPr>
        <w:pStyle w:val="style31"/>
        <w:numPr>
          <w:ilvl w:val="0"/>
          <w:numId w:val="2"/>
        </w:numPr>
        <w:jc w:val="both"/>
      </w:pPr>
      <w:r>
        <w:rPr>
          <w:rFonts w:cs="Calibri"/>
        </w:rPr>
        <w:t xml:space="preserve">Compete à esfera municipal a vacinação, ao lado das demais ações de vigilância epidemiológica, assim como as campanhas, as intensificações, as operações de bloqueio e as atividades extramuros, sendo operacionalizadas pela equipe da atenção primária, com apoio dos níveis distrital, regional, estadual e federal, sendo fundamental o fortalecimento da esfera municipal; </w:t>
      </w:r>
    </w:p>
    <w:p>
      <w:pPr>
        <w:pStyle w:val="style31"/>
        <w:jc w:val="both"/>
      </w:pPr>
      <w:r>
        <w:rPr/>
      </w:r>
    </w:p>
    <w:p>
      <w:pPr>
        <w:pStyle w:val="style31"/>
        <w:numPr>
          <w:ilvl w:val="0"/>
          <w:numId w:val="2"/>
        </w:numPr>
        <w:jc w:val="both"/>
      </w:pPr>
      <w:r>
        <w:rPr>
          <w:rFonts w:cs="Calibri"/>
        </w:rPr>
        <w:t xml:space="preserve">As atividades da sala de vacinação são desenvolvidas pela equipe de enfermagem treinada e capacitada para os procedimentos de manuseio, conservação, preparo e administração, registro e descarte dos resíduos resultantes das ações de vacinação; </w:t>
      </w:r>
    </w:p>
    <w:p>
      <w:pPr>
        <w:pStyle w:val="style31"/>
        <w:numPr>
          <w:ilvl w:val="0"/>
          <w:numId w:val="2"/>
        </w:numPr>
        <w:jc w:val="both"/>
      </w:pPr>
      <w:r>
        <w:rPr>
          <w:rFonts w:cs="Calibri"/>
        </w:rPr>
        <w:t>A equipe de vacinação participa ainda da compreensão da situação epidemiológica da área de abrangência na qual o serviço de vacinação está inserido, para o estabelecimento de prioridades, a alocação de recursos e a orientação programática, quando necessário, estando às campanhas de vacinação inseridas nesse contexto;</w:t>
      </w:r>
    </w:p>
    <w:p>
      <w:pPr>
        <w:pStyle w:val="style31"/>
        <w:numPr>
          <w:ilvl w:val="0"/>
          <w:numId w:val="2"/>
        </w:numPr>
        <w:jc w:val="both"/>
      </w:pPr>
      <w:r>
        <w:rPr>
          <w:rFonts w:cs="Calibri"/>
        </w:rPr>
        <w:t>As Campanhas Nacionais de Imunização são realizadas com o intuito de controle de determinadas doenças de forma intensiva ou para ampliação da cobertura vacinal complementando o trabalho da rotina, estando inseridas em dias extras de trabalho;</w:t>
      </w:r>
    </w:p>
    <w:p>
      <w:pPr>
        <w:pStyle w:val="style31"/>
        <w:numPr>
          <w:ilvl w:val="0"/>
          <w:numId w:val="2"/>
        </w:numPr>
        <w:spacing w:after="0" w:before="0"/>
        <w:contextualSpacing/>
        <w:jc w:val="both"/>
      </w:pPr>
      <w:r>
        <w:rPr>
          <w:rFonts w:cs="Calibri"/>
        </w:rPr>
        <w:t xml:space="preserve">Para viabilizar a permanência dos profissionais requisitados em atividades que se prolongam para além de sua jornada normal de trabalho no município, inclusive em períodos noturnos, sábados e domingos, faz-se necessário o fornecimento de lanches e refeições de qualidade como apoio à realização das campanhas, garantindo condições de trabalho adequadas e sucesso na operacionalização das mesmas.   </w:t>
      </w:r>
    </w:p>
    <w:p>
      <w:pPr>
        <w:pStyle w:val="style31"/>
        <w:spacing w:after="360" w:before="0"/>
        <w:contextualSpacing/>
        <w:jc w:val="both"/>
      </w:pPr>
      <w:r>
        <w:rPr/>
      </w:r>
    </w:p>
    <w:p>
      <w:pPr>
        <w:pStyle w:val="style31"/>
        <w:numPr>
          <w:ilvl w:val="0"/>
          <w:numId w:val="3"/>
        </w:numPr>
        <w:spacing w:after="200" w:before="0"/>
        <w:contextualSpacing/>
      </w:pPr>
      <w:r>
        <w:rPr>
          <w:b/>
        </w:rPr>
        <w:t>JUSTIFICATIVA DO QUANTITATIVO</w:t>
      </w:r>
    </w:p>
    <w:p>
      <w:pPr>
        <w:pStyle w:val="style31"/>
        <w:jc w:val="both"/>
      </w:pPr>
      <w:r>
        <w:rPr/>
      </w:r>
    </w:p>
    <w:p>
      <w:pPr>
        <w:pStyle w:val="style31"/>
        <w:jc w:val="both"/>
      </w:pPr>
      <w:r>
        <w:rPr/>
      </w:r>
    </w:p>
    <w:p>
      <w:pPr>
        <w:pStyle w:val="style31"/>
        <w:numPr>
          <w:ilvl w:val="0"/>
          <w:numId w:val="7"/>
        </w:numPr>
        <w:ind w:hanging="360" w:left="426" w:right="0"/>
        <w:jc w:val="both"/>
      </w:pPr>
      <w:r>
        <w:rPr>
          <w:rFonts w:cs="Calibri"/>
        </w:rPr>
        <w:t xml:space="preserve">39 (trinta e nove) UBS – Unidade Básica de Saúde (sendo 10 profissionais por Unidade) = </w:t>
      </w:r>
      <w:r>
        <w:rPr>
          <w:rFonts w:cs="Calibri"/>
          <w:b/>
        </w:rPr>
        <w:t xml:space="preserve">Total de 390 </w:t>
      </w:r>
      <w:r>
        <w:rPr>
          <w:rFonts w:cs="Calibri"/>
        </w:rPr>
        <w:t>(trezentos e noventa);</w:t>
      </w:r>
    </w:p>
    <w:p>
      <w:pPr>
        <w:pStyle w:val="style31"/>
        <w:numPr>
          <w:ilvl w:val="0"/>
          <w:numId w:val="7"/>
        </w:numPr>
        <w:ind w:hanging="360" w:left="426" w:right="0"/>
        <w:jc w:val="both"/>
      </w:pPr>
      <w:r>
        <w:rPr>
          <w:rFonts w:cs="Calibri"/>
        </w:rPr>
        <w:t xml:space="preserve">01 (um) Policlínica de Especialidades Médicas José de Oliveira Filoco - Manilha– (20 profissionais) = </w:t>
      </w:r>
      <w:r>
        <w:rPr>
          <w:rFonts w:cs="Calibri"/>
          <w:b/>
        </w:rPr>
        <w:t xml:space="preserve">Total de 20 </w:t>
      </w:r>
      <w:r>
        <w:rPr>
          <w:rFonts w:cs="Calibri"/>
        </w:rPr>
        <w:t>(vinte);</w:t>
      </w:r>
    </w:p>
    <w:p>
      <w:pPr>
        <w:pStyle w:val="style31"/>
        <w:numPr>
          <w:ilvl w:val="0"/>
          <w:numId w:val="7"/>
        </w:numPr>
        <w:ind w:hanging="360" w:left="426" w:right="0"/>
        <w:jc w:val="both"/>
      </w:pPr>
      <w:r>
        <w:rPr>
          <w:rFonts w:cs="Calibri"/>
        </w:rPr>
        <w:t xml:space="preserve">01 (um) Posto de Saúde Milton Rodrigues Rocha - (20 profissionais) = </w:t>
      </w:r>
      <w:r>
        <w:rPr>
          <w:rFonts w:cs="Calibri"/>
          <w:b/>
        </w:rPr>
        <w:t xml:space="preserve">Total de 20 </w:t>
      </w:r>
      <w:r>
        <w:rPr>
          <w:rFonts w:cs="Calibri"/>
        </w:rPr>
        <w:t xml:space="preserve">(vinte);   </w:t>
      </w:r>
    </w:p>
    <w:p>
      <w:pPr>
        <w:pStyle w:val="style31"/>
        <w:numPr>
          <w:ilvl w:val="0"/>
          <w:numId w:val="7"/>
        </w:numPr>
        <w:ind w:hanging="360" w:left="426" w:right="0"/>
        <w:jc w:val="both"/>
      </w:pPr>
      <w:r>
        <w:rPr>
          <w:rFonts w:cs="Calibri"/>
        </w:rPr>
        <w:t xml:space="preserve">15 (quinze) Motoristas = </w:t>
      </w:r>
      <w:r>
        <w:rPr>
          <w:rFonts w:cs="Calibri"/>
          <w:b/>
        </w:rPr>
        <w:t>Total de 15</w:t>
      </w:r>
      <w:r>
        <w:rPr>
          <w:rFonts w:cs="Calibri"/>
        </w:rPr>
        <w:t xml:space="preserve"> (quinze);</w:t>
      </w:r>
    </w:p>
    <w:p>
      <w:pPr>
        <w:pStyle w:val="style31"/>
        <w:numPr>
          <w:ilvl w:val="0"/>
          <w:numId w:val="7"/>
        </w:numPr>
        <w:ind w:hanging="360" w:left="426" w:right="0"/>
        <w:jc w:val="both"/>
      </w:pPr>
      <w:r>
        <w:rPr>
          <w:rFonts w:cs="Calibri"/>
        </w:rPr>
        <w:t xml:space="preserve">15 (quinze) Supervisores = </w:t>
      </w:r>
      <w:r>
        <w:rPr>
          <w:rFonts w:cs="Calibri"/>
          <w:b/>
        </w:rPr>
        <w:t>Total de 15</w:t>
      </w:r>
      <w:r>
        <w:rPr>
          <w:rFonts w:cs="Calibri"/>
        </w:rPr>
        <w:t xml:space="preserve"> (quinze);</w:t>
      </w:r>
    </w:p>
    <w:p>
      <w:pPr>
        <w:pStyle w:val="style31"/>
        <w:numPr>
          <w:ilvl w:val="0"/>
          <w:numId w:val="7"/>
        </w:numPr>
        <w:spacing w:after="360" w:before="0"/>
        <w:ind w:hanging="360" w:left="426" w:right="0"/>
        <w:contextualSpacing/>
        <w:jc w:val="both"/>
      </w:pPr>
      <w:r>
        <w:rPr>
          <w:rFonts w:cs="Calibri"/>
        </w:rPr>
        <w:t xml:space="preserve">Apoio Técnico - (40 profissionais) = </w:t>
      </w:r>
      <w:r>
        <w:rPr>
          <w:rFonts w:cs="Calibri"/>
          <w:b/>
        </w:rPr>
        <w:t>Total de 40</w:t>
      </w:r>
      <w:r>
        <w:rPr>
          <w:rFonts w:cs="Calibri"/>
        </w:rPr>
        <w:t xml:space="preserve"> (quarenta). </w:t>
      </w:r>
    </w:p>
    <w:p>
      <w:pPr>
        <w:pStyle w:val="style31"/>
        <w:spacing w:after="360" w:before="0"/>
        <w:ind w:hanging="0" w:left="426" w:right="0"/>
        <w:contextualSpacing/>
        <w:jc w:val="both"/>
      </w:pPr>
      <w:r>
        <w:rPr>
          <w:rFonts w:cs="Calibri"/>
        </w:rPr>
        <w:t xml:space="preserve">OBS 1: Total de Profissionais por campanha = </w:t>
      </w:r>
      <w:r>
        <w:rPr>
          <w:rFonts w:cs="Calibri"/>
          <w:b/>
        </w:rPr>
        <w:t xml:space="preserve">500 </w:t>
      </w:r>
      <w:r>
        <w:rPr>
          <w:rFonts w:cs="Calibri"/>
        </w:rPr>
        <w:t xml:space="preserve">(quinhentos). </w:t>
      </w:r>
    </w:p>
    <w:p>
      <w:pPr>
        <w:pStyle w:val="style31"/>
        <w:spacing w:after="360" w:before="0"/>
        <w:ind w:hanging="0" w:left="426" w:right="0"/>
        <w:contextualSpacing/>
        <w:jc w:val="both"/>
      </w:pPr>
      <w:r>
        <w:rPr>
          <w:rFonts w:cs="Calibri"/>
        </w:rPr>
        <w:t xml:space="preserve">OBS 2: O sal e o gelo só serão utilizados na campanha nacional de vacinação contra Raiva Animal.   </w:t>
      </w:r>
    </w:p>
    <w:p>
      <w:pPr>
        <w:pStyle w:val="style31"/>
        <w:spacing w:after="360" w:before="0"/>
        <w:ind w:hanging="0" w:left="426" w:right="0"/>
        <w:contextualSpacing/>
        <w:jc w:val="both"/>
      </w:pPr>
      <w:r>
        <w:rPr/>
      </w:r>
    </w:p>
    <w:p>
      <w:pPr>
        <w:pStyle w:val="style31"/>
        <w:numPr>
          <w:ilvl w:val="0"/>
          <w:numId w:val="4"/>
        </w:numPr>
        <w:spacing w:after="200" w:before="0"/>
        <w:contextualSpacing/>
      </w:pPr>
      <w:r>
        <w:rPr>
          <w:b/>
        </w:rPr>
        <w:t>DISCRITIVO TÉCNICO</w:t>
      </w:r>
    </w:p>
    <w:tbl>
      <w:tblPr>
        <w:jc w:val="center"/>
        <w:tblBorders>
          <w:top w:color="00000A" w:space="0" w:sz="8" w:val="single"/>
          <w:left w:color="00000A" w:space="0" w:sz="8" w:val="single"/>
          <w:bottom w:color="000001" w:space="0" w:sz="8" w:val="single"/>
        </w:tblBorders>
      </w:tblPr>
      <w:tblGrid>
        <w:gridCol w:w="715"/>
        <w:gridCol w:w="1498"/>
        <w:gridCol w:w="1005"/>
        <w:gridCol w:w="1123"/>
        <w:gridCol w:w="1057"/>
        <w:gridCol w:w="1113"/>
        <w:gridCol w:w="892"/>
        <w:gridCol w:w="889"/>
        <w:gridCol w:w="886"/>
      </w:tblGrid>
      <w:tr>
        <w:trPr>
          <w:trHeight w:hRule="atLeast" w:val="255"/>
          <w:cantSplit w:val="false"/>
        </w:trPr>
        <w:tc>
          <w:tcPr>
            <w:tcW w:type="dxa" w:w="715"/>
            <w:vMerge w:val="restart"/>
            <w:tcBorders>
              <w:top w:color="00000A" w:space="0" w:sz="8" w:val="single"/>
              <w:left w:color="00000A" w:space="0" w:sz="8" w:val="single"/>
              <w:bottom w:color="000001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  <w:b/>
                <w:bCs/>
              </w:rPr>
              <w:t>ITEM</w:t>
            </w:r>
          </w:p>
        </w:tc>
        <w:tc>
          <w:tcPr>
            <w:tcW w:type="dxa" w:w="1498"/>
            <w:vMerge w:val="restart"/>
            <w:tcBorders>
              <w:top w:color="00000A" w:space="0" w:sz="8" w:val="single"/>
              <w:left w:color="00000A" w:space="0" w:sz="8" w:val="single"/>
              <w:bottom w:color="000001" w:space="0" w:sz="8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  <w:b/>
                <w:bCs/>
              </w:rPr>
              <w:t>DESCRIÇÃO</w:t>
            </w:r>
          </w:p>
        </w:tc>
        <w:tc>
          <w:tcPr>
            <w:tcW w:type="dxa" w:w="1005"/>
            <w:vMerge w:val="restart"/>
            <w:tcBorders>
              <w:top w:color="00000A" w:space="0" w:sz="8" w:val="single"/>
              <w:bottom w:color="000001" w:space="0" w:sz="8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  <w:b/>
                <w:bCs/>
              </w:rPr>
              <w:t>UNIDADE</w:t>
            </w:r>
          </w:p>
        </w:tc>
        <w:tc>
          <w:tcPr>
            <w:tcW w:type="dxa" w:w="1123"/>
            <w:tcBorders>
              <w:top w:color="00000A" w:space="0" w:sz="8" w:val="single"/>
              <w:bottom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/>
            </w:r>
          </w:p>
          <w:p>
            <w:pPr>
              <w:pStyle w:val="style0"/>
              <w:jc w:val="center"/>
            </w:pPr>
            <w:r>
              <w:rPr>
                <w:rFonts w:cs="Calibri"/>
                <w:b/>
                <w:bCs/>
              </w:rPr>
              <w:t>EVENTO</w:t>
            </w:r>
          </w:p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  <w:b/>
                <w:bCs/>
              </w:rPr>
              <w:t xml:space="preserve"> </w:t>
            </w:r>
            <w:r>
              <w:rPr>
                <w:rFonts w:cs="Calibri"/>
                <w:b/>
                <w:bCs/>
              </w:rPr>
              <w:t>I</w:t>
            </w:r>
          </w:p>
        </w:tc>
        <w:tc>
          <w:tcPr>
            <w:tcW w:type="dxa" w:w="1057"/>
            <w:tcBorders>
              <w:top w:color="00000A" w:space="0" w:sz="8" w:val="single"/>
              <w:left w:color="00000A" w:space="0" w:sz="8" w:val="single"/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/>
            </w:r>
          </w:p>
          <w:p>
            <w:pPr>
              <w:pStyle w:val="style0"/>
              <w:jc w:val="center"/>
            </w:pPr>
            <w:r>
              <w:rPr>
                <w:rFonts w:cs="Calibri"/>
                <w:b/>
                <w:bCs/>
              </w:rPr>
              <w:t>EVENTO</w:t>
            </w:r>
          </w:p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  <w:b/>
                <w:bCs/>
              </w:rPr>
              <w:t xml:space="preserve"> </w:t>
            </w:r>
            <w:r>
              <w:rPr>
                <w:rFonts w:cs="Calibri"/>
                <w:b/>
                <w:bCs/>
              </w:rPr>
              <w:t>II</w:t>
            </w:r>
          </w:p>
        </w:tc>
        <w:tc>
          <w:tcPr>
            <w:tcW w:type="dxa" w:w="1113"/>
            <w:tcBorders>
              <w:top w:color="00000A" w:space="0" w:sz="8" w:val="single"/>
              <w:bottom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/>
            </w:r>
          </w:p>
          <w:p>
            <w:pPr>
              <w:pStyle w:val="style0"/>
              <w:jc w:val="center"/>
            </w:pPr>
            <w:r>
              <w:rPr>
                <w:rFonts w:cs="Calibri"/>
                <w:b/>
                <w:bCs/>
              </w:rPr>
              <w:t>EVENTO</w:t>
            </w:r>
          </w:p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  <w:b/>
                <w:bCs/>
              </w:rPr>
              <w:t xml:space="preserve"> </w:t>
            </w:r>
            <w:r>
              <w:rPr>
                <w:rFonts w:cs="Calibri"/>
                <w:b/>
                <w:bCs/>
              </w:rPr>
              <w:t>III</w:t>
            </w:r>
          </w:p>
        </w:tc>
        <w:tc>
          <w:tcPr>
            <w:tcW w:type="dxa" w:w="892"/>
            <w:tcBorders>
              <w:top w:color="00000A" w:space="0" w:sz="8" w:val="single"/>
              <w:left w:color="00000A" w:space="0" w:sz="8" w:val="single"/>
              <w:bottom w:color="000001" w:space="0" w:sz="8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</w:r>
          </w:p>
          <w:p>
            <w:pPr>
              <w:pStyle w:val="style0"/>
              <w:jc w:val="center"/>
            </w:pPr>
            <w:r>
              <w:rPr>
                <w:rFonts w:cs="Calibri"/>
                <w:b/>
                <w:bCs/>
              </w:rPr>
              <w:t xml:space="preserve">EVENTO </w:t>
            </w:r>
          </w:p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  <w:b/>
                <w:bCs/>
              </w:rPr>
              <w:t>IV</w:t>
            </w:r>
          </w:p>
        </w:tc>
        <w:tc>
          <w:tcPr>
            <w:tcW w:type="dxa" w:w="889"/>
            <w:tcBorders>
              <w:top w:color="00000A" w:space="0" w:sz="8" w:val="single"/>
              <w:left w:color="00000A" w:space="0" w:sz="8" w:val="single"/>
              <w:bottom w:color="000001" w:space="0" w:sz="8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/>
            </w:r>
          </w:p>
          <w:p>
            <w:pPr>
              <w:pStyle w:val="style0"/>
              <w:jc w:val="center"/>
            </w:pPr>
            <w:r>
              <w:rPr>
                <w:rFonts w:cs="Calibri"/>
                <w:b/>
                <w:bCs/>
              </w:rPr>
              <w:t>EVENTO</w:t>
            </w:r>
          </w:p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  <w:b/>
                <w:bCs/>
              </w:rPr>
              <w:t>V</w:t>
            </w:r>
          </w:p>
        </w:tc>
        <w:tc>
          <w:tcPr>
            <w:tcW w:type="dxa" w:w="886"/>
            <w:tcBorders>
              <w:top w:color="00000A" w:space="0" w:sz="8" w:val="single"/>
              <w:left w:color="00000A" w:space="0" w:sz="8" w:val="single"/>
              <w:bottom w:color="000001" w:space="0" w:sz="8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  <w:b/>
                <w:bCs/>
              </w:rPr>
              <w:t>QUANT. TOTAL</w:t>
            </w:r>
          </w:p>
        </w:tc>
      </w:tr>
      <w:tr>
        <w:trPr>
          <w:trHeight w:hRule="atLeast" w:val="270"/>
          <w:cantSplit w:val="false"/>
        </w:trPr>
        <w:tc>
          <w:tcPr>
            <w:tcW w:type="dxa" w:w="715"/>
            <w:vMerge w:val="continue"/>
            <w:tcBorders>
              <w:top w:color="00000A" w:space="0" w:sz="8" w:val="single"/>
              <w:left w:color="00000A" w:space="0" w:sz="8" w:val="single"/>
              <w:bottom w:color="000001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widowControl/>
              <w:tabs/>
              <w:suppressAutoHyphens w:val="true"/>
              <w:spacing w:after="200" w:before="0" w:line="276" w:lineRule="auto"/>
              <w:contextualSpacing w:val="false"/>
            </w:pPr>
            <w:r>
              <w:rPr/>
            </w:r>
          </w:p>
        </w:tc>
        <w:tc>
          <w:tcPr>
            <w:tcW w:type="dxa" w:w="1498"/>
            <w:vMerge w:val="continue"/>
            <w:tcBorders>
              <w:top w:color="00000A" w:space="0" w:sz="8" w:val="single"/>
              <w:left w:color="00000A" w:space="0" w:sz="8" w:val="single"/>
              <w:bottom w:color="000001" w:space="0" w:sz="8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widowControl/>
              <w:tabs/>
              <w:suppressAutoHyphens w:val="true"/>
              <w:spacing w:after="200" w:before="0" w:line="276" w:lineRule="auto"/>
              <w:contextualSpacing w:val="false"/>
            </w:pPr>
            <w:r>
              <w:rPr/>
            </w:r>
          </w:p>
        </w:tc>
        <w:tc>
          <w:tcPr>
            <w:tcW w:type="dxa" w:w="1005"/>
            <w:vMerge w:val="continue"/>
            <w:tcBorders>
              <w:top w:color="00000A" w:space="0" w:sz="8" w:val="single"/>
              <w:bottom w:color="000001" w:space="0" w:sz="8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widowControl/>
              <w:tabs/>
              <w:suppressAutoHyphens w:val="true"/>
              <w:spacing w:after="200" w:before="0" w:line="276" w:lineRule="auto"/>
              <w:contextualSpacing w:val="false"/>
            </w:pPr>
            <w:r>
              <w:rPr/>
            </w:r>
          </w:p>
        </w:tc>
        <w:tc>
          <w:tcPr>
            <w:tcW w:type="dxa" w:w="1123"/>
            <w:tcBorders>
              <w:bottom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  <w:b/>
                <w:bCs/>
              </w:rPr>
              <w:t>QUANT</w:t>
            </w:r>
          </w:p>
        </w:tc>
        <w:tc>
          <w:tcPr>
            <w:tcW w:type="dxa" w:w="1057"/>
            <w:tcBorders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  <w:b/>
                <w:bCs/>
              </w:rPr>
              <w:t>QUANT</w:t>
            </w:r>
          </w:p>
        </w:tc>
        <w:tc>
          <w:tcPr>
            <w:tcW w:type="dxa" w:w="1113"/>
            <w:tcBorders>
              <w:bottom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  <w:b/>
                <w:bCs/>
              </w:rPr>
              <w:t>QUANT</w:t>
            </w:r>
          </w:p>
        </w:tc>
        <w:tc>
          <w:tcPr>
            <w:tcW w:type="dxa" w:w="892"/>
            <w:tcBorders>
              <w:top w:color="00000A" w:space="0" w:sz="8" w:val="single"/>
              <w:left w:color="00000A" w:space="0" w:sz="8" w:val="single"/>
              <w:bottom w:color="000001" w:space="0" w:sz="8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tabs/>
              <w:suppressAutoHyphens w:val="true"/>
              <w:spacing w:after="200" w:before="0" w:line="276" w:lineRule="auto"/>
              <w:contextualSpacing w:val="false"/>
            </w:pPr>
            <w:r>
              <w:rPr>
                <w:rFonts w:cs="Calibri"/>
                <w:b/>
                <w:bCs/>
              </w:rPr>
              <w:t>QUANT</w:t>
            </w:r>
          </w:p>
        </w:tc>
        <w:tc>
          <w:tcPr>
            <w:tcW w:type="dxa" w:w="889"/>
            <w:tcBorders>
              <w:top w:color="00000A" w:space="0" w:sz="8" w:val="single"/>
              <w:left w:color="00000A" w:space="0" w:sz="8" w:val="single"/>
              <w:bottom w:color="000001" w:space="0" w:sz="8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tabs/>
              <w:suppressAutoHyphens w:val="true"/>
              <w:spacing w:after="200" w:before="0" w:line="276" w:lineRule="auto"/>
              <w:contextualSpacing w:val="false"/>
            </w:pPr>
            <w:r>
              <w:rPr>
                <w:rFonts w:cs="Calibri"/>
                <w:b/>
                <w:bCs/>
              </w:rPr>
              <w:t>QUANT</w:t>
            </w:r>
          </w:p>
        </w:tc>
        <w:tc>
          <w:tcPr>
            <w:tcW w:type="dxa" w:w="886"/>
            <w:tcBorders>
              <w:top w:color="00000A" w:space="0" w:sz="8" w:val="single"/>
              <w:left w:color="00000A" w:space="0" w:sz="8" w:val="single"/>
              <w:bottom w:color="000001" w:space="0" w:sz="8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tabs/>
              <w:suppressAutoHyphens w:val="true"/>
              <w:spacing w:after="200" w:before="0" w:line="276" w:lineRule="auto"/>
              <w:contextualSpacing w:val="false"/>
            </w:pPr>
            <w:r>
              <w:rPr>
                <w:rFonts w:cs="Calibri"/>
                <w:b/>
                <w:bCs/>
              </w:rPr>
              <w:t>QUANT</w:t>
            </w:r>
          </w:p>
        </w:tc>
      </w:tr>
      <w:tr>
        <w:trPr>
          <w:trHeight w:hRule="atLeast" w:val="255"/>
          <w:cantSplit w:val="false"/>
        </w:trPr>
        <w:tc>
          <w:tcPr>
            <w:tcW w:type="dxa" w:w="715"/>
            <w:tcBorders>
              <w:left w:color="00000A" w:space="0" w:sz="8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</w:rPr>
              <w:t>01</w:t>
            </w:r>
          </w:p>
        </w:tc>
        <w:tc>
          <w:tcPr>
            <w:tcW w:type="dxa" w:w="1498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both"/>
            </w:pPr>
            <w:r>
              <w:rPr>
                <w:rFonts w:cs="Calibri"/>
                <w:b/>
                <w:bCs/>
              </w:rPr>
              <w:t>ÁGUA</w:t>
            </w:r>
            <w:r>
              <w:rPr>
                <w:rFonts w:cs="Calibri"/>
              </w:rPr>
              <w:t xml:space="preserve"> - Garrafa de 500 ml </w:t>
            </w:r>
          </w:p>
        </w:tc>
        <w:tc>
          <w:tcPr>
            <w:tcW w:type="dxa" w:w="1005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</w:rPr>
              <w:t>UNID.</w:t>
            </w:r>
          </w:p>
        </w:tc>
        <w:tc>
          <w:tcPr>
            <w:tcW w:type="dxa" w:w="1123"/>
            <w:tcBorders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</w:rPr>
              <w:t>500</w:t>
            </w:r>
          </w:p>
        </w:tc>
        <w:tc>
          <w:tcPr>
            <w:tcW w:type="dxa" w:w="1057"/>
            <w:tcBorders>
              <w:left w:color="00000A" w:space="0" w:sz="4" w:val="single"/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</w:rPr>
              <w:t>500</w:t>
            </w:r>
          </w:p>
        </w:tc>
        <w:tc>
          <w:tcPr>
            <w:tcW w:type="dxa" w:w="1113"/>
            <w:tcBorders>
              <w:left w:color="00000A" w:space="0" w:sz="4" w:val="single"/>
              <w:bottom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</w:rPr>
              <w:t>500</w:t>
            </w:r>
          </w:p>
        </w:tc>
        <w:tc>
          <w:tcPr>
            <w:tcW w:type="dxa" w:w="892"/>
            <w:tcBorders>
              <w:left w:color="00000A" w:space="0" w:sz="8" w:val="single"/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  <w:bCs/>
              </w:rPr>
              <w:t>500</w:t>
            </w:r>
          </w:p>
        </w:tc>
        <w:tc>
          <w:tcPr>
            <w:tcW w:type="dxa" w:w="889"/>
            <w:tcBorders>
              <w:left w:color="00000A" w:space="0" w:sz="8" w:val="single"/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  <w:bCs/>
              </w:rPr>
              <w:t>500</w:t>
            </w:r>
          </w:p>
        </w:tc>
        <w:tc>
          <w:tcPr>
            <w:tcW w:type="dxa" w:w="886"/>
            <w:tcBorders>
              <w:left w:color="00000A" w:space="0" w:sz="8" w:val="single"/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  <w:b/>
                <w:bCs/>
              </w:rPr>
              <w:t>2500</w:t>
            </w:r>
          </w:p>
        </w:tc>
      </w:tr>
      <w:tr>
        <w:trPr>
          <w:trHeight w:hRule="atLeast" w:val="255"/>
          <w:cantSplit w:val="false"/>
        </w:trPr>
        <w:tc>
          <w:tcPr>
            <w:tcW w:type="dxa" w:w="715"/>
            <w:tcBorders>
              <w:left w:color="00000A" w:space="0" w:sz="8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</w:rPr>
              <w:t>02</w:t>
            </w:r>
          </w:p>
        </w:tc>
        <w:tc>
          <w:tcPr>
            <w:tcW w:type="dxa" w:w="1498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both"/>
            </w:pPr>
            <w:r>
              <w:rPr>
                <w:rFonts w:cs="Calibri"/>
                <w:b/>
                <w:bCs/>
              </w:rPr>
              <w:t>SUCO DE FRUTA</w:t>
            </w:r>
            <w:r>
              <w:rPr>
                <w:rFonts w:cs="Calibri"/>
              </w:rPr>
              <w:t xml:space="preserve"> - Embalagem tipo tetra Pack de 200 ml</w:t>
            </w:r>
          </w:p>
        </w:tc>
        <w:tc>
          <w:tcPr>
            <w:tcW w:type="dxa" w:w="1005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/>
              <w:contextualSpacing w:val="false"/>
              <w:jc w:val="center"/>
            </w:pPr>
            <w:r>
              <w:rPr>
                <w:rFonts w:cs="Calibri"/>
              </w:rPr>
              <w:t>UNID.</w:t>
            </w:r>
          </w:p>
        </w:tc>
        <w:tc>
          <w:tcPr>
            <w:tcW w:type="dxa" w:w="1123"/>
            <w:tcBorders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/>
              <w:contextualSpacing w:val="false"/>
              <w:jc w:val="center"/>
            </w:pPr>
            <w:r>
              <w:rPr>
                <w:rFonts w:cs="Calibri"/>
              </w:rPr>
              <w:t>500</w:t>
            </w:r>
          </w:p>
        </w:tc>
        <w:tc>
          <w:tcPr>
            <w:tcW w:type="dxa" w:w="1057"/>
            <w:tcBorders>
              <w:left w:color="00000A" w:space="0" w:sz="4" w:val="single"/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/>
              <w:contextualSpacing w:val="false"/>
              <w:jc w:val="center"/>
            </w:pPr>
            <w:r>
              <w:rPr>
                <w:rFonts w:cs="Calibri"/>
              </w:rPr>
              <w:t>500</w:t>
            </w:r>
          </w:p>
        </w:tc>
        <w:tc>
          <w:tcPr>
            <w:tcW w:type="dxa" w:w="1113"/>
            <w:tcBorders>
              <w:left w:color="00000A" w:space="0" w:sz="4" w:val="single"/>
              <w:bottom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/>
              <w:contextualSpacing w:val="false"/>
              <w:jc w:val="center"/>
            </w:pPr>
            <w:r>
              <w:rPr>
                <w:rFonts w:cs="Calibri"/>
              </w:rPr>
              <w:t>500</w:t>
            </w:r>
          </w:p>
        </w:tc>
        <w:tc>
          <w:tcPr>
            <w:tcW w:type="dxa" w:w="892"/>
            <w:tcBorders>
              <w:left w:color="00000A" w:space="0" w:sz="8" w:val="single"/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/>
              <w:contextualSpacing w:val="false"/>
              <w:jc w:val="center"/>
            </w:pPr>
            <w:r>
              <w:rPr>
                <w:rFonts w:cs="Calibri"/>
                <w:bCs/>
              </w:rPr>
              <w:t>500</w:t>
            </w:r>
          </w:p>
        </w:tc>
        <w:tc>
          <w:tcPr>
            <w:tcW w:type="dxa" w:w="889"/>
            <w:tcBorders>
              <w:left w:color="00000A" w:space="0" w:sz="8" w:val="single"/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/>
              <w:contextualSpacing w:val="false"/>
              <w:jc w:val="center"/>
            </w:pPr>
            <w:r>
              <w:rPr>
                <w:rFonts w:cs="Calibri"/>
                <w:bCs/>
              </w:rPr>
              <w:t>500</w:t>
            </w:r>
          </w:p>
        </w:tc>
        <w:tc>
          <w:tcPr>
            <w:tcW w:type="dxa" w:w="886"/>
            <w:tcBorders>
              <w:left w:color="00000A" w:space="0" w:sz="8" w:val="single"/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/>
              <w:contextualSpacing w:val="false"/>
              <w:jc w:val="center"/>
            </w:pPr>
            <w:r>
              <w:rPr>
                <w:rFonts w:cs="Calibri"/>
                <w:b/>
                <w:bCs/>
              </w:rPr>
              <w:t>2500</w:t>
            </w:r>
          </w:p>
        </w:tc>
      </w:tr>
      <w:tr>
        <w:trPr>
          <w:trHeight w:hRule="atLeast" w:val="1275"/>
          <w:cantSplit w:val="false"/>
        </w:trPr>
        <w:tc>
          <w:tcPr>
            <w:tcW w:type="dxa" w:w="715"/>
            <w:tcBorders>
              <w:left w:color="00000A" w:space="0" w:sz="8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</w:rPr>
              <w:t>03</w:t>
            </w:r>
          </w:p>
        </w:tc>
        <w:tc>
          <w:tcPr>
            <w:tcW w:type="dxa" w:w="1498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both"/>
            </w:pPr>
            <w:r>
              <w:rPr>
                <w:rFonts w:cs="Calibri"/>
                <w:b/>
                <w:bCs/>
              </w:rPr>
              <w:t>ALMOÇO</w:t>
            </w:r>
            <w:r>
              <w:rPr>
                <w:rFonts w:cs="Calibri"/>
              </w:rPr>
              <w:t xml:space="preserve"> - Composto de arroz, feijão, farofa, legumes (batata ou cenoura), 1 (um) tipo de carne, acondicionado em forma de quentinha, pesando no mínimo 500 gramas, acompanhado de garfo, faca e guardanapo descartáveis devidamente embalados em saco plástico.</w:t>
            </w:r>
          </w:p>
        </w:tc>
        <w:tc>
          <w:tcPr>
            <w:tcW w:type="dxa" w:w="1005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/>
            </w:r>
          </w:p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</w:rPr>
              <w:t>KIT</w:t>
            </w:r>
          </w:p>
        </w:tc>
        <w:tc>
          <w:tcPr>
            <w:tcW w:type="dxa" w:w="1123"/>
            <w:tcBorders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/>
            </w:r>
          </w:p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</w:rPr>
              <w:t>500</w:t>
            </w:r>
          </w:p>
        </w:tc>
        <w:tc>
          <w:tcPr>
            <w:tcW w:type="dxa" w:w="1057"/>
            <w:tcBorders>
              <w:left w:color="00000A" w:space="0" w:sz="4" w:val="single"/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/>
            </w:r>
          </w:p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</w:rPr>
              <w:t>500</w:t>
            </w:r>
          </w:p>
        </w:tc>
        <w:tc>
          <w:tcPr>
            <w:tcW w:type="dxa" w:w="1113"/>
            <w:tcBorders>
              <w:left w:color="00000A" w:space="0" w:sz="4" w:val="single"/>
              <w:bottom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/>
            </w:r>
          </w:p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</w:rPr>
              <w:t>500</w:t>
            </w:r>
          </w:p>
        </w:tc>
        <w:tc>
          <w:tcPr>
            <w:tcW w:type="dxa" w:w="892"/>
            <w:tcBorders>
              <w:left w:color="00000A" w:space="0" w:sz="8" w:val="single"/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</w:pPr>
            <w:r>
              <w:rPr/>
            </w:r>
          </w:p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  <w:bCs/>
              </w:rPr>
              <w:t>500</w:t>
            </w:r>
          </w:p>
        </w:tc>
        <w:tc>
          <w:tcPr>
            <w:tcW w:type="dxa" w:w="889"/>
            <w:tcBorders>
              <w:left w:color="00000A" w:space="0" w:sz="8" w:val="single"/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</w:pPr>
            <w:r>
              <w:rPr/>
            </w:r>
          </w:p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  <w:bCs/>
              </w:rPr>
              <w:t>500</w:t>
            </w:r>
          </w:p>
        </w:tc>
        <w:tc>
          <w:tcPr>
            <w:tcW w:type="dxa" w:w="886"/>
            <w:tcBorders>
              <w:left w:color="00000A" w:space="0" w:sz="8" w:val="single"/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</w:pPr>
            <w:r>
              <w:rPr/>
            </w:r>
          </w:p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  <w:b/>
                <w:bCs/>
              </w:rPr>
              <w:t>2500</w:t>
            </w:r>
          </w:p>
        </w:tc>
      </w:tr>
      <w:tr>
        <w:trPr>
          <w:trHeight w:hRule="atLeast" w:val="510"/>
          <w:cantSplit w:val="false"/>
        </w:trPr>
        <w:tc>
          <w:tcPr>
            <w:tcW w:type="dxa" w:w="715"/>
            <w:tcBorders>
              <w:left w:color="00000A" w:space="0" w:sz="8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</w:rPr>
              <w:t>04</w:t>
            </w:r>
          </w:p>
        </w:tc>
        <w:tc>
          <w:tcPr>
            <w:tcW w:type="dxa" w:w="1498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both"/>
            </w:pPr>
            <w:r>
              <w:rPr>
                <w:rFonts w:cs="Calibri"/>
                <w:b/>
                <w:bCs/>
              </w:rPr>
              <w:t>SOBREMESA</w:t>
            </w:r>
            <w:r>
              <w:rPr>
                <w:rFonts w:cs="Calibri"/>
              </w:rPr>
              <w:t xml:space="preserve"> – Maçã ou pera nacional tamanho  </w:t>
            </w:r>
            <w:r>
              <w:rPr>
                <w:rFonts w:cs="Calibri"/>
                <w:b/>
              </w:rPr>
              <w:t xml:space="preserve">médio </w:t>
            </w:r>
            <w:r>
              <w:rPr>
                <w:rFonts w:cs="Calibri"/>
              </w:rPr>
              <w:t>devidamente lavada e embalada em saco plástico.</w:t>
            </w:r>
          </w:p>
        </w:tc>
        <w:tc>
          <w:tcPr>
            <w:tcW w:type="dxa" w:w="1005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</w:rPr>
              <w:t>UNID.</w:t>
            </w:r>
          </w:p>
        </w:tc>
        <w:tc>
          <w:tcPr>
            <w:tcW w:type="dxa" w:w="1123"/>
            <w:tcBorders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</w:rPr>
              <w:t>500</w:t>
            </w:r>
          </w:p>
        </w:tc>
        <w:tc>
          <w:tcPr>
            <w:tcW w:type="dxa" w:w="1057"/>
            <w:tcBorders>
              <w:left w:color="00000A" w:space="0" w:sz="4" w:val="single"/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</w:rPr>
              <w:t>500</w:t>
            </w:r>
          </w:p>
        </w:tc>
        <w:tc>
          <w:tcPr>
            <w:tcW w:type="dxa" w:w="1113"/>
            <w:tcBorders>
              <w:left w:color="00000A" w:space="0" w:sz="4" w:val="single"/>
              <w:bottom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</w:rPr>
              <w:t>500</w:t>
            </w:r>
          </w:p>
        </w:tc>
        <w:tc>
          <w:tcPr>
            <w:tcW w:type="dxa" w:w="892"/>
            <w:tcBorders>
              <w:left w:color="00000A" w:space="0" w:sz="8" w:val="single"/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  <w:bCs/>
              </w:rPr>
              <w:t>500</w:t>
            </w:r>
          </w:p>
        </w:tc>
        <w:tc>
          <w:tcPr>
            <w:tcW w:type="dxa" w:w="889"/>
            <w:tcBorders>
              <w:left w:color="00000A" w:space="0" w:sz="8" w:val="single"/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  <w:bCs/>
              </w:rPr>
              <w:t>500</w:t>
            </w:r>
          </w:p>
        </w:tc>
        <w:tc>
          <w:tcPr>
            <w:tcW w:type="dxa" w:w="886"/>
            <w:tcBorders>
              <w:left w:color="00000A" w:space="0" w:sz="8" w:val="single"/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  <w:b/>
                <w:bCs/>
              </w:rPr>
              <w:t>2500</w:t>
            </w:r>
          </w:p>
        </w:tc>
      </w:tr>
      <w:tr>
        <w:trPr>
          <w:trHeight w:hRule="atLeast" w:val="1275"/>
          <w:cantSplit w:val="false"/>
        </w:trPr>
        <w:tc>
          <w:tcPr>
            <w:tcW w:type="dxa" w:w="715"/>
            <w:tcBorders>
              <w:left w:color="00000A" w:space="0" w:sz="8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</w:rPr>
              <w:t>05</w:t>
            </w:r>
          </w:p>
        </w:tc>
        <w:tc>
          <w:tcPr>
            <w:tcW w:type="dxa" w:w="1498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both"/>
            </w:pPr>
            <w:r>
              <w:rPr>
                <w:rFonts w:cs="Calibri"/>
                <w:b/>
                <w:bCs/>
              </w:rPr>
              <w:t>LANCHE</w:t>
            </w:r>
            <w:r>
              <w:rPr>
                <w:rFonts w:cs="Calibri"/>
              </w:rPr>
              <w:t xml:space="preserve"> – Achocolatado em embalagem tetra Pack de 200 ml, 1 (uma) embalagem de biscoito doce tipo Wafer contendo 6 (seis) unidades com 80 gramas, 1 (uma) embalagem de biscoito salgado tipo Club Social com 60 gramas e 01 (uma) unidade queijo tipo polenguinho.</w:t>
            </w:r>
          </w:p>
        </w:tc>
        <w:tc>
          <w:tcPr>
            <w:tcW w:type="dxa" w:w="1005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</w:rPr>
              <w:t>KIT</w:t>
            </w:r>
          </w:p>
        </w:tc>
        <w:tc>
          <w:tcPr>
            <w:tcW w:type="dxa" w:w="1123"/>
            <w:tcBorders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</w:rPr>
              <w:t>500</w:t>
            </w:r>
          </w:p>
        </w:tc>
        <w:tc>
          <w:tcPr>
            <w:tcW w:type="dxa" w:w="1057"/>
            <w:tcBorders>
              <w:left w:color="00000A" w:space="0" w:sz="4" w:val="single"/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</w:rPr>
              <w:t>500</w:t>
            </w:r>
          </w:p>
        </w:tc>
        <w:tc>
          <w:tcPr>
            <w:tcW w:type="dxa" w:w="1113"/>
            <w:tcBorders>
              <w:left w:color="00000A" w:space="0" w:sz="4" w:val="single"/>
              <w:bottom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</w:rPr>
              <w:t>500</w:t>
            </w:r>
          </w:p>
        </w:tc>
        <w:tc>
          <w:tcPr>
            <w:tcW w:type="dxa" w:w="892"/>
            <w:tcBorders>
              <w:left w:color="00000A" w:space="0" w:sz="8" w:val="single"/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  <w:bCs/>
              </w:rPr>
              <w:t>500</w:t>
            </w:r>
          </w:p>
        </w:tc>
        <w:tc>
          <w:tcPr>
            <w:tcW w:type="dxa" w:w="889"/>
            <w:tcBorders>
              <w:left w:color="00000A" w:space="0" w:sz="8" w:val="single"/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  <w:bCs/>
              </w:rPr>
              <w:t>500</w:t>
            </w:r>
          </w:p>
        </w:tc>
        <w:tc>
          <w:tcPr>
            <w:tcW w:type="dxa" w:w="886"/>
            <w:tcBorders>
              <w:left w:color="00000A" w:space="0" w:sz="8" w:val="single"/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  <w:b/>
                <w:bCs/>
              </w:rPr>
              <w:t>2500</w:t>
            </w:r>
          </w:p>
        </w:tc>
      </w:tr>
      <w:tr>
        <w:trPr>
          <w:trHeight w:hRule="atLeast" w:val="510"/>
          <w:cantSplit w:val="false"/>
        </w:trPr>
        <w:tc>
          <w:tcPr>
            <w:tcW w:type="dxa" w:w="715"/>
            <w:tcBorders>
              <w:left w:color="00000A" w:space="0" w:sz="8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</w:rPr>
              <w:t>06</w:t>
            </w:r>
          </w:p>
        </w:tc>
        <w:tc>
          <w:tcPr>
            <w:tcW w:type="dxa" w:w="1498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both"/>
            </w:pPr>
            <w:r>
              <w:rPr>
                <w:rFonts w:cs="Calibri"/>
                <w:b/>
                <w:bCs/>
              </w:rPr>
              <w:t>SAL GROSSO</w:t>
            </w:r>
            <w:r>
              <w:rPr>
                <w:rFonts w:cs="Calibri"/>
              </w:rPr>
              <w:t xml:space="preserve"> – Para ser utilizado juntamente com gelo para conservação de temperatura das vacinas</w:t>
            </w:r>
          </w:p>
        </w:tc>
        <w:tc>
          <w:tcPr>
            <w:tcW w:type="dxa" w:w="1005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</w:rPr>
              <w:t>Kg</w:t>
            </w:r>
          </w:p>
        </w:tc>
        <w:tc>
          <w:tcPr>
            <w:tcW w:type="dxa" w:w="1123"/>
            <w:tcBorders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</w:rPr>
              <w:t>*</w:t>
            </w:r>
          </w:p>
        </w:tc>
        <w:tc>
          <w:tcPr>
            <w:tcW w:type="dxa" w:w="1057"/>
            <w:tcBorders>
              <w:left w:color="00000A" w:space="0" w:sz="4" w:val="single"/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</w:rPr>
              <w:t>*</w:t>
            </w:r>
          </w:p>
        </w:tc>
        <w:tc>
          <w:tcPr>
            <w:tcW w:type="dxa" w:w="1113"/>
            <w:tcBorders>
              <w:left w:color="00000A" w:space="0" w:sz="4" w:val="single"/>
              <w:bottom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</w:rPr>
              <w:t>*</w:t>
            </w:r>
          </w:p>
        </w:tc>
        <w:tc>
          <w:tcPr>
            <w:tcW w:type="dxa" w:w="892"/>
            <w:tcBorders>
              <w:left w:color="00000A" w:space="0" w:sz="8" w:val="single"/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</w:rPr>
              <w:t>*</w:t>
            </w:r>
          </w:p>
        </w:tc>
        <w:tc>
          <w:tcPr>
            <w:tcW w:type="dxa" w:w="889"/>
            <w:tcBorders>
              <w:left w:color="00000A" w:space="0" w:sz="8" w:val="single"/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/>
            </w:r>
          </w:p>
          <w:p>
            <w:pPr>
              <w:pStyle w:val="style0"/>
              <w:jc w:val="center"/>
            </w:pPr>
            <w:r>
              <w:rPr>
                <w:rFonts w:cs="Calibri"/>
                <w:bCs/>
              </w:rPr>
              <w:t>40</w:t>
            </w:r>
          </w:p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/>
            </w:r>
          </w:p>
        </w:tc>
        <w:tc>
          <w:tcPr>
            <w:tcW w:type="dxa" w:w="886"/>
            <w:tcBorders>
              <w:left w:color="00000A" w:space="0" w:sz="8" w:val="single"/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  <w:b/>
                <w:bCs/>
              </w:rPr>
              <w:t>40</w:t>
            </w:r>
          </w:p>
        </w:tc>
      </w:tr>
      <w:tr>
        <w:trPr>
          <w:trHeight w:hRule="atLeast" w:val="4164"/>
          <w:cantSplit w:val="false"/>
        </w:trPr>
        <w:tc>
          <w:tcPr>
            <w:tcW w:type="dxa" w:w="715"/>
            <w:tcBorders>
              <w:left w:color="00000A" w:space="0" w:sz="8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</w:rPr>
              <w:t>07</w:t>
            </w:r>
          </w:p>
        </w:tc>
        <w:tc>
          <w:tcPr>
            <w:tcW w:type="dxa" w:w="1498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both"/>
            </w:pPr>
            <w:r>
              <w:rPr>
                <w:rFonts w:cs="Calibri"/>
                <w:b/>
                <w:bCs/>
              </w:rPr>
              <w:t>GELO</w:t>
            </w:r>
            <w:r>
              <w:rPr>
                <w:rFonts w:cs="Calibri"/>
              </w:rPr>
              <w:t xml:space="preserve"> – Em cubo, para ser utilizado na conservação de temperatura das vacinas.</w:t>
            </w:r>
          </w:p>
        </w:tc>
        <w:tc>
          <w:tcPr>
            <w:tcW w:type="dxa" w:w="1005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</w:rPr>
              <w:t>Kg</w:t>
            </w:r>
          </w:p>
        </w:tc>
        <w:tc>
          <w:tcPr>
            <w:tcW w:type="dxa" w:w="1123"/>
            <w:tcBorders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</w:rPr>
              <w:t>*</w:t>
            </w:r>
          </w:p>
        </w:tc>
        <w:tc>
          <w:tcPr>
            <w:tcW w:type="dxa" w:w="1057"/>
            <w:tcBorders>
              <w:left w:color="00000A" w:space="0" w:sz="4" w:val="single"/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</w:rPr>
              <w:t>*</w:t>
            </w:r>
          </w:p>
        </w:tc>
        <w:tc>
          <w:tcPr>
            <w:tcW w:type="dxa" w:w="1113"/>
            <w:tcBorders>
              <w:left w:color="00000A" w:space="0" w:sz="4" w:val="single"/>
              <w:bottom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</w:rPr>
              <w:t>*</w:t>
            </w:r>
          </w:p>
        </w:tc>
        <w:tc>
          <w:tcPr>
            <w:tcW w:type="dxa" w:w="892"/>
            <w:tcBorders>
              <w:left w:color="00000A" w:space="0" w:sz="8" w:val="single"/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  <w:b/>
                <w:bCs/>
              </w:rPr>
              <w:t>*</w:t>
            </w:r>
          </w:p>
        </w:tc>
        <w:tc>
          <w:tcPr>
            <w:tcW w:type="dxa" w:w="889"/>
            <w:tcBorders>
              <w:left w:color="00000A" w:space="0" w:sz="8" w:val="single"/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  <w:bCs/>
              </w:rPr>
              <w:t>400</w:t>
            </w:r>
          </w:p>
        </w:tc>
        <w:tc>
          <w:tcPr>
            <w:tcW w:type="dxa" w:w="886"/>
            <w:tcBorders>
              <w:left w:color="00000A" w:space="0" w:sz="8" w:val="single"/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/>
            </w:r>
          </w:p>
          <w:p>
            <w:pPr>
              <w:pStyle w:val="style0"/>
              <w:jc w:val="center"/>
            </w:pPr>
            <w:r>
              <w:rPr/>
            </w:r>
          </w:p>
          <w:p>
            <w:pPr>
              <w:pStyle w:val="style0"/>
              <w:jc w:val="center"/>
            </w:pPr>
            <w:r>
              <w:rPr/>
            </w:r>
          </w:p>
          <w:p>
            <w:pPr>
              <w:pStyle w:val="style0"/>
              <w:jc w:val="center"/>
            </w:pPr>
            <w:r>
              <w:rPr>
                <w:rFonts w:cs="Calibri"/>
                <w:b/>
                <w:bCs/>
              </w:rPr>
              <w:t>400</w:t>
            </w:r>
          </w:p>
          <w:p>
            <w:pPr>
              <w:pStyle w:val="style0"/>
              <w:jc w:val="center"/>
            </w:pPr>
            <w:r>
              <w:rPr/>
            </w:r>
          </w:p>
          <w:p>
            <w:pPr>
              <w:pStyle w:val="style0"/>
              <w:jc w:val="center"/>
            </w:pPr>
            <w:r>
              <w:rPr/>
            </w:r>
          </w:p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/>
            </w:r>
          </w:p>
        </w:tc>
      </w:tr>
      <w:tr>
        <w:trPr>
          <w:trHeight w:hRule="atLeast" w:val="510"/>
          <w:cantSplit w:val="false"/>
        </w:trPr>
        <w:tc>
          <w:tcPr>
            <w:tcW w:type="dxa" w:w="715"/>
            <w:tcBorders>
              <w:left w:color="00000A" w:space="0" w:sz="8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/>
            </w:r>
          </w:p>
          <w:p>
            <w:pPr>
              <w:pStyle w:val="style0"/>
              <w:jc w:val="center"/>
            </w:pPr>
            <w:r>
              <w:rPr/>
            </w:r>
          </w:p>
          <w:p>
            <w:pPr>
              <w:pStyle w:val="style0"/>
              <w:jc w:val="center"/>
            </w:pPr>
            <w:r>
              <w:rPr/>
            </w:r>
          </w:p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</w:rPr>
              <w:t>08</w:t>
            </w:r>
          </w:p>
        </w:tc>
        <w:tc>
          <w:tcPr>
            <w:tcW w:type="dxa" w:w="1498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both"/>
            </w:pPr>
            <w:r>
              <w:rPr/>
            </w:r>
          </w:p>
          <w:p>
            <w:pPr>
              <w:pStyle w:val="style0"/>
              <w:spacing w:after="200" w:before="0"/>
              <w:contextualSpacing w:val="false"/>
              <w:jc w:val="both"/>
            </w:pPr>
            <w:r>
              <w:rPr>
                <w:rFonts w:cs="Calibri"/>
                <w:b/>
                <w:bCs/>
              </w:rPr>
              <w:t>SACOLA PLÁSTICA</w:t>
            </w:r>
            <w:r>
              <w:rPr>
                <w:rFonts w:cs="Calibri"/>
              </w:rPr>
              <w:t xml:space="preserve"> – Com alça reforçada para suportar 15 kg, Tamanho: 50x60 cm</w:t>
            </w:r>
          </w:p>
        </w:tc>
        <w:tc>
          <w:tcPr>
            <w:tcW w:type="dxa" w:w="1005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</w:rPr>
              <w:t>UNID.</w:t>
            </w:r>
          </w:p>
        </w:tc>
        <w:tc>
          <w:tcPr>
            <w:tcW w:type="dxa" w:w="1123"/>
            <w:tcBorders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</w:rPr>
              <w:t>500</w:t>
            </w:r>
          </w:p>
        </w:tc>
        <w:tc>
          <w:tcPr>
            <w:tcW w:type="dxa" w:w="1057"/>
            <w:tcBorders>
              <w:left w:color="00000A" w:space="0" w:sz="4" w:val="single"/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</w:rPr>
              <w:t>500</w:t>
            </w:r>
          </w:p>
        </w:tc>
        <w:tc>
          <w:tcPr>
            <w:tcW w:type="dxa" w:w="1113"/>
            <w:tcBorders>
              <w:left w:color="00000A" w:space="0" w:sz="4" w:val="single"/>
              <w:bottom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</w:rPr>
              <w:t>500</w:t>
            </w:r>
          </w:p>
        </w:tc>
        <w:tc>
          <w:tcPr>
            <w:tcW w:type="dxa" w:w="892"/>
            <w:tcBorders>
              <w:left w:color="00000A" w:space="0" w:sz="8" w:val="single"/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  <w:bCs/>
              </w:rPr>
              <w:t>500</w:t>
            </w:r>
          </w:p>
        </w:tc>
        <w:tc>
          <w:tcPr>
            <w:tcW w:type="dxa" w:w="889"/>
            <w:tcBorders>
              <w:left w:color="00000A" w:space="0" w:sz="8" w:val="single"/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  <w:bCs/>
              </w:rPr>
              <w:t>500</w:t>
            </w:r>
          </w:p>
        </w:tc>
        <w:tc>
          <w:tcPr>
            <w:tcW w:type="dxa" w:w="886"/>
            <w:tcBorders>
              <w:left w:color="00000A" w:space="0" w:sz="8" w:val="single"/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  <w:b/>
                <w:bCs/>
              </w:rPr>
              <w:t>2500</w:t>
            </w:r>
          </w:p>
        </w:tc>
      </w:tr>
      <w:tr>
        <w:trPr>
          <w:trHeight w:hRule="atLeast" w:val="585"/>
          <w:cantSplit w:val="false"/>
        </w:trPr>
        <w:tc>
          <w:tcPr>
            <w:tcW w:type="dxa" w:w="715"/>
            <w:tcBorders>
              <w:left w:color="00000A" w:space="0" w:sz="8" w:val="single"/>
              <w:bottom w:color="00000A" w:space="0" w:sz="8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</w:rPr>
              <w:t>09</w:t>
            </w:r>
          </w:p>
        </w:tc>
        <w:tc>
          <w:tcPr>
            <w:tcW w:type="dxa" w:w="1498"/>
            <w:tcBorders>
              <w:bottom w:color="00000A" w:space="0" w:sz="8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both"/>
            </w:pPr>
            <w:r>
              <w:rPr>
                <w:rFonts w:cs="Calibri"/>
                <w:b/>
                <w:bCs/>
              </w:rPr>
              <w:t>SACO PLÁSTICO</w:t>
            </w:r>
            <w:r>
              <w:rPr>
                <w:rFonts w:cs="Calibri"/>
              </w:rPr>
              <w:t xml:space="preserve"> – Transparente, com capacidade para 03 (três) litros.</w:t>
            </w:r>
          </w:p>
        </w:tc>
        <w:tc>
          <w:tcPr>
            <w:tcW w:type="dxa" w:w="1005"/>
            <w:tcBorders>
              <w:bottom w:color="00000A" w:space="0" w:sz="8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</w:rPr>
              <w:t>BOBINA</w:t>
            </w:r>
          </w:p>
        </w:tc>
        <w:tc>
          <w:tcPr>
            <w:tcW w:type="dxa" w:w="1123"/>
            <w:tcBorders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</w:rPr>
              <w:t>20</w:t>
            </w:r>
          </w:p>
        </w:tc>
        <w:tc>
          <w:tcPr>
            <w:tcW w:type="dxa" w:w="1057"/>
            <w:tcBorders>
              <w:left w:color="00000A" w:space="0" w:sz="4" w:val="single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</w:rPr>
              <w:t>*</w:t>
            </w:r>
          </w:p>
        </w:tc>
        <w:tc>
          <w:tcPr>
            <w:tcW w:type="dxa" w:w="1113"/>
            <w:tcBorders>
              <w:left w:color="00000A" w:space="0" w:sz="4" w:val="single"/>
              <w:bottom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</w:rPr>
              <w:t>*</w:t>
            </w:r>
          </w:p>
        </w:tc>
        <w:tc>
          <w:tcPr>
            <w:tcW w:type="dxa" w:w="892"/>
            <w:tcBorders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  <w:bCs/>
              </w:rPr>
              <w:t>*</w:t>
            </w:r>
          </w:p>
        </w:tc>
        <w:tc>
          <w:tcPr>
            <w:tcW w:type="dxa" w:w="889"/>
            <w:tcBorders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  <w:bCs/>
              </w:rPr>
              <w:t>*</w:t>
            </w:r>
          </w:p>
        </w:tc>
        <w:tc>
          <w:tcPr>
            <w:tcW w:type="dxa" w:w="886"/>
            <w:tcBorders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center"/>
            </w:pPr>
            <w:r>
              <w:rPr>
                <w:rFonts w:cs="Calibri"/>
                <w:b/>
                <w:bCs/>
              </w:rPr>
              <w:t>20</w:t>
            </w:r>
          </w:p>
        </w:tc>
      </w:tr>
    </w:tbl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31"/>
        <w:numPr>
          <w:ilvl w:val="0"/>
          <w:numId w:val="5"/>
        </w:numPr>
        <w:spacing w:after="200" w:before="0"/>
        <w:contextualSpacing/>
      </w:pPr>
      <w:r>
        <w:rPr>
          <w:b/>
        </w:rPr>
        <w:t>NATUREZA DA EXECUÇÃO</w:t>
      </w:r>
    </w:p>
    <w:p>
      <w:pPr>
        <w:pStyle w:val="style0"/>
        <w:jc w:val="both"/>
      </w:pPr>
      <w:r>
        <w:rPr>
          <w:rFonts w:cs="Calibri"/>
        </w:rPr>
        <w:t xml:space="preserve">             </w:t>
      </w:r>
      <w:r>
        <w:rPr>
          <w:rFonts w:cs="Calibri"/>
        </w:rPr>
        <w:t>Todos os serviços deverão estar em conformidade com as descrições técnicas abaixo:</w:t>
      </w:r>
    </w:p>
    <w:p>
      <w:pPr>
        <w:pStyle w:val="style0"/>
      </w:pPr>
      <w:r>
        <w:rPr>
          <w:rFonts w:cs="Arial"/>
          <w:b/>
        </w:rPr>
        <w:t>6.1. As</w:t>
      </w:r>
      <w:r>
        <w:rPr>
          <w:rFonts w:cs="Arial"/>
        </w:rPr>
        <w:t xml:space="preserve"> refeições deverão ser liberadas a partir das 11:00h, junto com as frutas e talheres descartáveis, no dia do evento em local a combinar com o fornecedor;</w:t>
      </w:r>
    </w:p>
    <w:p>
      <w:pPr>
        <w:pStyle w:val="style0"/>
        <w:jc w:val="both"/>
      </w:pPr>
      <w:r>
        <w:rPr>
          <w:rFonts w:cs="Arial"/>
          <w:b/>
        </w:rPr>
        <w:t xml:space="preserve">6.2. </w:t>
      </w:r>
      <w:r>
        <w:rPr>
          <w:rFonts w:cs="Arial"/>
        </w:rPr>
        <w:t>O lanche deverá ser entregue preferencialmente 08 (oito) dias antes do evento, junto com as sacolas plásticas e saco plástico das 09h até às 16:00h, na Coordenação de Imunobiológicos, localizada na Rua Desembargador Ferreira Pinto nº 09 fundos – Centro (antigo hospital).</w:t>
      </w:r>
    </w:p>
    <w:p>
      <w:pPr>
        <w:pStyle w:val="style33"/>
        <w:jc w:val="both"/>
      </w:pPr>
      <w:r>
        <w:rPr>
          <w:b/>
          <w:sz w:val="26"/>
          <w:szCs w:val="26"/>
        </w:rPr>
        <w:t>6.3.</w:t>
      </w:r>
      <w:r>
        <w:rPr>
          <w:sz w:val="26"/>
          <w:szCs w:val="26"/>
        </w:rPr>
        <w:t>O sal e o gelo só serão usados na campanha nacional de vacinação contra Raiva animal, a entrega ficará sob a responsabilidade da coordenação da vigilância sanitária.</w:t>
      </w:r>
    </w:p>
    <w:p>
      <w:pPr>
        <w:pStyle w:val="style33"/>
        <w:ind w:hanging="0" w:left="360" w:right="0"/>
        <w:jc w:val="both"/>
      </w:pPr>
      <w:r>
        <w:rPr/>
      </w:r>
    </w:p>
    <w:p>
      <w:pPr>
        <w:pStyle w:val="style33"/>
        <w:jc w:val="both"/>
      </w:pPr>
      <w:r>
        <w:rPr>
          <w:b/>
          <w:bCs/>
          <w:sz w:val="24"/>
          <w:szCs w:val="24"/>
        </w:rPr>
        <w:t>7</w:t>
      </w:r>
      <w:r>
        <w:rPr>
          <w:sz w:val="24"/>
          <w:szCs w:val="24"/>
        </w:rPr>
        <w:t xml:space="preserve">. </w:t>
      </w:r>
      <w:r>
        <w:rPr>
          <w:b/>
          <w:bCs/>
          <w:sz w:val="24"/>
          <w:szCs w:val="24"/>
        </w:rPr>
        <w:t>Tipo de Empenho: estimativo</w:t>
      </w:r>
    </w:p>
    <w:p>
      <w:pPr>
        <w:pStyle w:val="style33"/>
        <w:tabs>
          <w:tab w:leader="none" w:pos="4252" w:val="center"/>
          <w:tab w:leader="none" w:pos="6750" w:val="left"/>
          <w:tab w:leader="none" w:pos="8504" w:val="right"/>
        </w:tabs>
        <w:jc w:val="both"/>
      </w:pPr>
      <w:r>
        <w:rPr>
          <w:sz w:val="24"/>
          <w:szCs w:val="24"/>
        </w:rPr>
        <w:tab/>
      </w:r>
    </w:p>
    <w:p>
      <w:pPr>
        <w:pStyle w:val="style33"/>
        <w:jc w:val="both"/>
      </w:pPr>
      <w:r>
        <w:rPr>
          <w:b/>
          <w:bCs/>
          <w:sz w:val="24"/>
          <w:szCs w:val="24"/>
        </w:rPr>
        <w:t>8. Prazo de Execução:</w:t>
      </w:r>
      <w:r>
        <w:rPr>
          <w:sz w:val="24"/>
          <w:szCs w:val="24"/>
        </w:rPr>
        <w:t xml:space="preserve"> 12 (doze) meses.</w:t>
      </w:r>
    </w:p>
    <w:p>
      <w:pPr>
        <w:pStyle w:val="style33"/>
        <w:jc w:val="both"/>
      </w:pPr>
      <w:r>
        <w:rPr>
          <w:sz w:val="24"/>
          <w:szCs w:val="24"/>
        </w:rPr>
        <w:t xml:space="preserve"> </w:t>
      </w:r>
    </w:p>
    <w:p>
      <w:pPr>
        <w:pStyle w:val="style33"/>
        <w:jc w:val="both"/>
      </w:pPr>
      <w:r>
        <w:rPr>
          <w:b/>
          <w:bCs/>
          <w:sz w:val="24"/>
          <w:szCs w:val="24"/>
        </w:rPr>
        <w:t>9.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Das Despesas:</w:t>
      </w:r>
    </w:p>
    <w:p>
      <w:pPr>
        <w:pStyle w:val="style33"/>
        <w:jc w:val="both"/>
      </w:pPr>
      <w:r>
        <w:rPr/>
      </w:r>
    </w:p>
    <w:p>
      <w:pPr>
        <w:pStyle w:val="style33"/>
        <w:jc w:val="both"/>
      </w:pP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9.1. </w:t>
      </w:r>
      <w:r>
        <w:rPr>
          <w:sz w:val="24"/>
          <w:szCs w:val="24"/>
        </w:rPr>
        <w:t>Nos preços apresentados deverão estar incluídos todos os custos necessários        para o fornecimento dos mesmos.</w:t>
      </w:r>
    </w:p>
    <w:p>
      <w:pPr>
        <w:pStyle w:val="style33"/>
        <w:jc w:val="both"/>
      </w:pPr>
      <w:r>
        <w:rPr/>
      </w:r>
    </w:p>
    <w:p>
      <w:pPr>
        <w:pStyle w:val="style33"/>
        <w:jc w:val="both"/>
      </w:pPr>
      <w:r>
        <w:rPr>
          <w:b/>
          <w:bCs/>
          <w:sz w:val="24"/>
          <w:szCs w:val="24"/>
          <w:lang w:eastAsia="ar-SA"/>
        </w:rPr>
        <w:t xml:space="preserve">10.  MÉTODOS E ESTRATÉGIAS DE SUPRIMENTO: </w:t>
      </w:r>
    </w:p>
    <w:p>
      <w:pPr>
        <w:pStyle w:val="style33"/>
        <w:jc w:val="both"/>
      </w:pPr>
      <w:r>
        <w:rPr/>
      </w:r>
    </w:p>
    <w:p>
      <w:pPr>
        <w:pStyle w:val="style33"/>
        <w:jc w:val="both"/>
      </w:pPr>
      <w:r>
        <w:rPr>
          <w:b/>
          <w:sz w:val="24"/>
          <w:szCs w:val="24"/>
          <w:lang w:eastAsia="ar-SA"/>
        </w:rPr>
        <w:t>10.1.</w:t>
      </w:r>
      <w:r>
        <w:rPr>
          <w:sz w:val="24"/>
          <w:szCs w:val="24"/>
          <w:lang w:eastAsia="ar-SA"/>
        </w:rPr>
        <w:t xml:space="preserve">O fornecimento será efetuado de acordo com a necessidade da SMS . </w:t>
      </w:r>
    </w:p>
    <w:p>
      <w:pPr>
        <w:pStyle w:val="style33"/>
        <w:jc w:val="both"/>
      </w:pPr>
      <w:r>
        <w:rPr/>
      </w:r>
    </w:p>
    <w:p>
      <w:pPr>
        <w:pStyle w:val="style33"/>
        <w:jc w:val="both"/>
      </w:pPr>
      <w:r>
        <w:rPr>
          <w:b/>
          <w:bCs/>
          <w:sz w:val="24"/>
          <w:szCs w:val="24"/>
          <w:lang w:eastAsia="ar-SA"/>
        </w:rPr>
        <w:t>10.2.</w:t>
      </w:r>
      <w:r>
        <w:rPr>
          <w:sz w:val="24"/>
          <w:szCs w:val="24"/>
          <w:lang w:eastAsia="ar-SA"/>
        </w:rPr>
        <w:t xml:space="preserve"> Os bens deverão ser entregues, rigorosamente, dentro das especificações estabelecidas na CI do processo, sendo que a inobservância desta condição implicará recusa formal, com aplicação das penalidades. </w:t>
      </w:r>
    </w:p>
    <w:p>
      <w:pPr>
        <w:pStyle w:val="style33"/>
        <w:jc w:val="both"/>
      </w:pPr>
      <w:r>
        <w:rPr/>
      </w:r>
    </w:p>
    <w:p>
      <w:pPr>
        <w:pStyle w:val="style33"/>
        <w:jc w:val="both"/>
      </w:pPr>
      <w:r>
        <w:rPr>
          <w:b/>
          <w:bCs/>
          <w:sz w:val="24"/>
          <w:szCs w:val="24"/>
          <w:lang w:eastAsia="ar-SA"/>
        </w:rPr>
        <w:t>10.3.</w:t>
      </w:r>
      <w:r>
        <w:rPr>
          <w:sz w:val="24"/>
          <w:szCs w:val="24"/>
          <w:lang w:eastAsia="ar-SA"/>
        </w:rPr>
        <w:t xml:space="preserve"> Em hipótese alguma será aceito material diferente do que foi cotado, que esteja em desacordo com avarias ou defeito de fabricação.</w:t>
      </w:r>
    </w:p>
    <w:p>
      <w:pPr>
        <w:pStyle w:val="style33"/>
        <w:jc w:val="both"/>
      </w:pPr>
      <w:r>
        <w:rPr/>
      </w:r>
    </w:p>
    <w:p>
      <w:pPr>
        <w:pStyle w:val="style33"/>
        <w:jc w:val="both"/>
      </w:pPr>
      <w:r>
        <w:rPr>
          <w:b/>
          <w:bCs/>
          <w:sz w:val="24"/>
          <w:szCs w:val="24"/>
          <w:lang w:eastAsia="ar-SA"/>
        </w:rPr>
        <w:t>10.4.</w:t>
      </w:r>
      <w:r>
        <w:rPr>
          <w:sz w:val="24"/>
          <w:szCs w:val="24"/>
          <w:lang w:eastAsia="ar-SA"/>
        </w:rPr>
        <w:t xml:space="preserve"> Os produtos ofertados deverão ter validade de, no mínimo, 01 (um) ano, contado da data da entrega.</w:t>
      </w:r>
    </w:p>
    <w:p>
      <w:pPr>
        <w:pStyle w:val="style33"/>
        <w:jc w:val="both"/>
      </w:pPr>
      <w:r>
        <w:rPr/>
      </w:r>
    </w:p>
    <w:p>
      <w:pPr>
        <w:pStyle w:val="style33"/>
        <w:jc w:val="both"/>
      </w:pPr>
      <w:r>
        <w:rPr>
          <w:b/>
          <w:bCs/>
          <w:sz w:val="24"/>
          <w:szCs w:val="24"/>
        </w:rPr>
        <w:t>11.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Da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Proposta de Preço</w:t>
      </w:r>
      <w:r>
        <w:rPr>
          <w:sz w:val="24"/>
          <w:szCs w:val="24"/>
        </w:rPr>
        <w:t>:</w:t>
      </w:r>
    </w:p>
    <w:p>
      <w:pPr>
        <w:pStyle w:val="style33"/>
        <w:jc w:val="both"/>
      </w:pPr>
      <w:r>
        <w:rPr/>
      </w:r>
    </w:p>
    <w:p>
      <w:pPr>
        <w:pStyle w:val="style33"/>
        <w:jc w:val="both"/>
      </w:pPr>
      <w:r>
        <w:rPr>
          <w:b/>
          <w:sz w:val="24"/>
          <w:szCs w:val="24"/>
        </w:rPr>
        <w:t>11.1.</w:t>
      </w:r>
      <w:r>
        <w:rPr>
          <w:sz w:val="24"/>
          <w:szCs w:val="24"/>
        </w:rPr>
        <w:t xml:space="preserve"> Validade da proposta não poderá ser inferior a 60 (sessenta) dias, contados da data de sua apresentação.</w:t>
      </w:r>
    </w:p>
    <w:p>
      <w:pPr>
        <w:pStyle w:val="style33"/>
        <w:jc w:val="both"/>
      </w:pPr>
      <w:r>
        <w:rPr/>
      </w:r>
    </w:p>
    <w:p>
      <w:pPr>
        <w:pStyle w:val="style33"/>
        <w:jc w:val="both"/>
      </w:pPr>
      <w:r>
        <w:rPr>
          <w:b/>
          <w:bCs/>
          <w:sz w:val="24"/>
          <w:szCs w:val="24"/>
          <w:lang w:eastAsia="ar-SA"/>
        </w:rPr>
        <w:t>12.</w:t>
      </w:r>
      <w:r>
        <w:rPr>
          <w:sz w:val="24"/>
          <w:szCs w:val="24"/>
          <w:lang w:eastAsia="ar-SA"/>
        </w:rPr>
        <w:t xml:space="preserve"> </w:t>
      </w:r>
      <w:r>
        <w:rPr>
          <w:b/>
          <w:bCs/>
          <w:sz w:val="24"/>
          <w:szCs w:val="24"/>
          <w:lang w:eastAsia="ar-SA"/>
        </w:rPr>
        <w:t>Das  Condições de Pagamentos:</w:t>
      </w:r>
      <w:r>
        <w:rPr>
          <w:sz w:val="24"/>
          <w:szCs w:val="24"/>
          <w:lang w:eastAsia="ar-SA"/>
        </w:rPr>
        <w:t xml:space="preserve"> O pagamento será em até 30 dias, após o adimplemento da obrigação mediante apresentação da nota fiscal devidamente atestada por dois servidores.</w:t>
      </w:r>
    </w:p>
    <w:p>
      <w:pPr>
        <w:pStyle w:val="style33"/>
        <w:jc w:val="both"/>
      </w:pPr>
      <w:r>
        <w:rPr/>
      </w:r>
    </w:p>
    <w:p>
      <w:pPr>
        <w:pStyle w:val="style33"/>
        <w:jc w:val="both"/>
      </w:pPr>
      <w:r>
        <w:rPr>
          <w:b/>
          <w:bCs/>
          <w:sz w:val="24"/>
          <w:szCs w:val="24"/>
        </w:rPr>
        <w:t xml:space="preserve">13. 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DAS OBRIGAÇÕES DA CONTRATADA</w:t>
      </w:r>
      <w:r>
        <w:rPr>
          <w:sz w:val="24"/>
          <w:szCs w:val="24"/>
        </w:rPr>
        <w:t xml:space="preserve"> </w:t>
      </w:r>
    </w:p>
    <w:p>
      <w:pPr>
        <w:pStyle w:val="style33"/>
        <w:jc w:val="both"/>
      </w:pPr>
      <w:r>
        <w:rPr/>
      </w:r>
    </w:p>
    <w:p>
      <w:pPr>
        <w:pStyle w:val="style33"/>
        <w:jc w:val="both"/>
      </w:pPr>
      <w:r>
        <w:rPr>
          <w:b/>
          <w:bCs/>
          <w:sz w:val="24"/>
          <w:szCs w:val="24"/>
        </w:rPr>
        <w:t xml:space="preserve">13.1. </w:t>
      </w:r>
      <w:r>
        <w:rPr>
          <w:sz w:val="24"/>
          <w:szCs w:val="24"/>
        </w:rPr>
        <w:t xml:space="preserve">Efetuar a entrega dos bens em perfeitas condições, no prazo e local indicados, em estrita observância das especificações deste Termo de Referência e da proposta, acompanhado da respectiva nota fiscal constando detalhadamente as indicações da marca, fabricante, tipo, procedência e prazo de garantia; </w:t>
      </w:r>
    </w:p>
    <w:p>
      <w:pPr>
        <w:pStyle w:val="style33"/>
        <w:jc w:val="both"/>
      </w:pPr>
      <w:r>
        <w:rPr/>
      </w:r>
    </w:p>
    <w:p>
      <w:pPr>
        <w:pStyle w:val="style33"/>
        <w:jc w:val="both"/>
      </w:pPr>
      <w:r>
        <w:rPr>
          <w:b/>
          <w:bCs/>
          <w:sz w:val="24"/>
          <w:szCs w:val="24"/>
        </w:rPr>
        <w:t>13.2.</w:t>
      </w:r>
      <w:r>
        <w:rPr>
          <w:sz w:val="24"/>
          <w:szCs w:val="24"/>
        </w:rPr>
        <w:t xml:space="preserve"> Se após o recebimento definitivo do produto for encontrado algum defeito, o fornecedor deverá substituir o produto imediatamente sem adicionar encargos decorrente.</w:t>
      </w:r>
    </w:p>
    <w:p>
      <w:pPr>
        <w:pStyle w:val="style33"/>
        <w:jc w:val="both"/>
      </w:pPr>
      <w:r>
        <w:rPr/>
      </w:r>
    </w:p>
    <w:p>
      <w:pPr>
        <w:pStyle w:val="style33"/>
        <w:jc w:val="both"/>
      </w:pPr>
      <w:r>
        <w:rPr>
          <w:b/>
          <w:bCs/>
          <w:sz w:val="24"/>
          <w:szCs w:val="24"/>
        </w:rPr>
        <w:t>13.3.</w:t>
      </w:r>
      <w:r>
        <w:rPr>
          <w:sz w:val="24"/>
          <w:szCs w:val="24"/>
        </w:rPr>
        <w:t xml:space="preserve"> Comunicar por escrito a Administração, qualquer anormalidade de caráter urgente e prestar os esclarecimentos que julgar necessário; </w:t>
      </w:r>
    </w:p>
    <w:p>
      <w:pPr>
        <w:pStyle w:val="style33"/>
        <w:jc w:val="both"/>
      </w:pPr>
      <w:r>
        <w:rPr/>
      </w:r>
    </w:p>
    <w:p>
      <w:pPr>
        <w:pStyle w:val="style33"/>
        <w:jc w:val="both"/>
      </w:pPr>
      <w:r>
        <w:rPr>
          <w:b/>
          <w:bCs/>
          <w:sz w:val="24"/>
          <w:szCs w:val="24"/>
        </w:rPr>
        <w:t>13.4.</w:t>
      </w:r>
      <w:bookmarkStart w:id="0" w:name="_GoBack"/>
      <w:bookmarkEnd w:id="0"/>
      <w:r>
        <w:rPr>
          <w:sz w:val="24"/>
          <w:szCs w:val="24"/>
        </w:rPr>
        <w:t xml:space="preserve"> Manter, durante toda a execução do contrato, em compatibilidade com as obrigações assumidas, todas as condições de habilitação e qualificação exigidas na licitação; </w:t>
      </w:r>
    </w:p>
    <w:p>
      <w:pPr>
        <w:pStyle w:val="style33"/>
        <w:jc w:val="both"/>
      </w:pPr>
      <w:r>
        <w:rPr/>
      </w:r>
    </w:p>
    <w:p>
      <w:pPr>
        <w:pStyle w:val="style33"/>
        <w:jc w:val="both"/>
      </w:pPr>
      <w:r>
        <w:rPr>
          <w:b/>
          <w:bCs/>
          <w:sz w:val="24"/>
          <w:szCs w:val="24"/>
        </w:rPr>
        <w:t>13.5.</w:t>
      </w:r>
      <w:r>
        <w:rPr>
          <w:sz w:val="24"/>
          <w:szCs w:val="24"/>
        </w:rPr>
        <w:t xml:space="preserve"> Acatar as determinações dos responsáveis pelo recebimento e conferencia dos materiais. </w:t>
      </w:r>
    </w:p>
    <w:p>
      <w:pPr>
        <w:pStyle w:val="style33"/>
        <w:jc w:val="both"/>
      </w:pPr>
      <w:r>
        <w:rPr/>
      </w:r>
    </w:p>
    <w:p>
      <w:pPr>
        <w:pStyle w:val="style33"/>
        <w:jc w:val="both"/>
      </w:pPr>
      <w:r>
        <w:rPr>
          <w:b/>
          <w:bCs/>
          <w:sz w:val="24"/>
          <w:szCs w:val="24"/>
        </w:rPr>
        <w:t>13.6.</w:t>
      </w:r>
      <w:r>
        <w:rPr>
          <w:sz w:val="24"/>
          <w:szCs w:val="24"/>
        </w:rPr>
        <w:t xml:space="preserve"> Arcar com todos encargos decorrentes da presente contratação, especialmente os referentes a fretes, taxas, seguros, encargos sociais e trabalhistas; </w:t>
      </w:r>
    </w:p>
    <w:p>
      <w:pPr>
        <w:pStyle w:val="style33"/>
        <w:jc w:val="both"/>
      </w:pPr>
      <w:r>
        <w:rPr/>
      </w:r>
    </w:p>
    <w:p>
      <w:pPr>
        <w:pStyle w:val="style33"/>
        <w:jc w:val="both"/>
      </w:pPr>
      <w:r>
        <w:rPr>
          <w:b/>
          <w:bCs/>
          <w:sz w:val="24"/>
          <w:szCs w:val="24"/>
          <w:lang w:eastAsia="ar-SA"/>
        </w:rPr>
        <w:t>14. Da Legalidade</w:t>
      </w:r>
    </w:p>
    <w:p>
      <w:pPr>
        <w:pStyle w:val="style33"/>
        <w:jc w:val="both"/>
      </w:pPr>
      <w:r>
        <w:rPr/>
      </w:r>
    </w:p>
    <w:p>
      <w:pPr>
        <w:pStyle w:val="style33"/>
        <w:jc w:val="both"/>
      </w:pPr>
      <w:r>
        <w:rPr>
          <w:b/>
          <w:sz w:val="24"/>
          <w:szCs w:val="24"/>
          <w:lang w:eastAsia="ar-SA"/>
        </w:rPr>
        <w:t>1</w:t>
      </w:r>
      <w:r>
        <w:rPr>
          <w:b/>
          <w:sz w:val="24"/>
          <w:szCs w:val="24"/>
          <w:lang w:eastAsia="ar-SA"/>
        </w:rPr>
        <w:t>4</w:t>
      </w:r>
      <w:r>
        <w:rPr>
          <w:b/>
          <w:sz w:val="24"/>
          <w:szCs w:val="24"/>
          <w:lang w:eastAsia="ar-SA"/>
        </w:rPr>
        <w:t>.1.</w:t>
      </w:r>
      <w:r>
        <w:rPr>
          <w:sz w:val="24"/>
          <w:szCs w:val="24"/>
          <w:lang w:eastAsia="ar-SA"/>
        </w:rPr>
        <w:t xml:space="preserve"> Todos os atos do presente instrumento sujeitam-se integralmente as normas da Lei Federal 8.666, de 21/06/1993, bem como suas alterações.</w:t>
      </w:r>
    </w:p>
    <w:sectPr>
      <w:headerReference r:id="rId2" w:type="default"/>
      <w:footerReference r:id="rId3" w:type="default"/>
      <w:type w:val="nextPage"/>
      <w:pgSz w:h="16838" w:w="11906"/>
      <w:pgMar w:bottom="1417" w:footer="195" w:gutter="0" w:header="426" w:left="1701" w:right="1701" w:top="1231"/>
      <w:pgNumType w:fmt="decimal"/>
      <w:formProt w:val="false"/>
      <w:textDirection w:val="lrTb"/>
      <w:docGrid w:charSpace="8192" w:linePitch="36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ourier New">
    <w:charset w:val="80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34"/>
      <w:jc w:val="right"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33"/>
      <w:jc w:val="center"/>
    </w:pPr>
    <w:r>
      <w:rPr/>
      <w:drawing>
        <wp:anchor allowOverlap="1" behindDoc="0" distB="0" distL="0" distR="0" distT="0" layoutInCell="1" locked="0" relativeHeight="5" simplePos="0">
          <wp:simplePos x="0" y="0"/>
          <wp:positionH relativeFrom="character">
            <wp:posOffset>-263525</wp:posOffset>
          </wp:positionH>
          <wp:positionV relativeFrom="line">
            <wp:posOffset>-102235</wp:posOffset>
          </wp:positionV>
          <wp:extent cx="1915795" cy="717550"/>
          <wp:effectExtent b="0" l="0" r="0" t="0"/>
          <wp:wrapTopAndBottom/>
          <wp:docPr descr="" id="0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descr="" id="0" name="Picture"/>
                  <pic:cNvPicPr>
                    <a:picLocks noChangeArrowheads="1"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5795" cy="717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>
    <w:pPr>
      <w:pStyle w:val="style33"/>
      <w:jc w:val="center"/>
    </w:pPr>
    <w:r>
      <w:rPr/>
    </w:r>
  </w:p>
</w:hdr>
</file>

<file path=word/numbering.xml><?xml version="1.0" encoding="utf-8"?>
<w:numbering xmlns:w="http://schemas.openxmlformats.org/wordprocessingml/2006/main">
  <w:abstractNum w:abstractNumId="1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2">
    <w:lvl w:ilvl="0">
      <w:start w:val="1"/>
      <w:numFmt w:val="bullet"/>
      <w:lvlText w:val=""/>
      <w:lvlJc w:val="left"/>
      <w:pPr>
        <w:ind w:hanging="360" w:left="720"/>
      </w:pPr>
      <w:rPr>
        <w:rFonts w:ascii="Symbol" w:cs="Symbol" w:hAnsi="Symbol" w:hint="default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cs="Symbol" w:hAnsi="Symbol" w:hint="default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cs="Symbol" w:hAnsi="Symbol" w:hint="default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cs="Wingdings" w:hAnsi="Wingdings" w:hint="default"/>
      </w:rPr>
    </w:lvl>
  </w:abstractNum>
  <w:abstractNum w:abstractNumId="3">
    <w:lvl w:ilvl="0">
      <w:start w:val="4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4">
    <w:lvl w:ilvl="0">
      <w:start w:val="5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5">
    <w:lvl w:ilvl="0">
      <w:start w:val="6"/>
      <w:numFmt w:val="decimal"/>
      <w:lvlText w:val="%1."/>
      <w:lvlJc w:val="left"/>
      <w:pPr>
        <w:ind w:hanging="360" w:left="1080"/>
      </w:pPr>
    </w:lvl>
    <w:lvl w:ilvl="1">
      <w:start w:val="1"/>
      <w:numFmt w:val="lowerLetter"/>
      <w:lvlText w:val="%2."/>
      <w:lvlJc w:val="left"/>
      <w:pPr>
        <w:ind w:hanging="360" w:left="1800"/>
      </w:pPr>
    </w:lvl>
    <w:lvl w:ilvl="2">
      <w:start w:val="1"/>
      <w:numFmt w:val="lowerRoman"/>
      <w:lvlText w:val="%3."/>
      <w:lvlJc w:val="right"/>
      <w:pPr>
        <w:ind w:hanging="180" w:left="2520"/>
      </w:pPr>
    </w:lvl>
    <w:lvl w:ilvl="3">
      <w:start w:val="1"/>
      <w:numFmt w:val="decimal"/>
      <w:lvlText w:val="%4."/>
      <w:lvlJc w:val="left"/>
      <w:pPr>
        <w:ind w:hanging="360" w:left="3240"/>
      </w:pPr>
    </w:lvl>
    <w:lvl w:ilvl="4">
      <w:start w:val="1"/>
      <w:numFmt w:val="lowerLetter"/>
      <w:lvlText w:val="%5."/>
      <w:lvlJc w:val="left"/>
      <w:pPr>
        <w:ind w:hanging="360" w:left="3960"/>
      </w:pPr>
    </w:lvl>
    <w:lvl w:ilvl="5">
      <w:start w:val="1"/>
      <w:numFmt w:val="lowerRoman"/>
      <w:lvlText w:val="%6."/>
      <w:lvlJc w:val="right"/>
      <w:pPr>
        <w:ind w:hanging="180" w:left="4680"/>
      </w:pPr>
    </w:lvl>
    <w:lvl w:ilvl="6">
      <w:start w:val="1"/>
      <w:numFmt w:val="decimal"/>
      <w:lvlText w:val="%7."/>
      <w:lvlJc w:val="left"/>
      <w:pPr>
        <w:ind w:hanging="360" w:left="5400"/>
      </w:pPr>
    </w:lvl>
    <w:lvl w:ilvl="7">
      <w:start w:val="1"/>
      <w:numFmt w:val="lowerLetter"/>
      <w:lvlText w:val="%8."/>
      <w:lvlJc w:val="left"/>
      <w:pPr>
        <w:ind w:hanging="360" w:left="6120"/>
      </w:pPr>
    </w:lvl>
    <w:lvl w:ilvl="8">
      <w:start w:val="1"/>
      <w:numFmt w:val="lowerRoman"/>
      <w:lvlText w:val="%9."/>
      <w:lvlJc w:val="right"/>
      <w:pPr>
        <w:ind w:hanging="180" w:left="6840"/>
      </w:pPr>
    </w:lvl>
  </w:abstractNum>
  <w:abstractNum w:abstractNumId="6">
    <w:lvl w:ilvl="0">
      <w:start w:val="1"/>
      <w:numFmt w:val="bullet"/>
      <w:lvlText w:val=""/>
      <w:lvlJc w:val="left"/>
      <w:pPr>
        <w:ind w:hanging="360" w:left="720"/>
      </w:pPr>
      <w:rPr>
        <w:rFonts w:ascii="Symbol" w:cs="Symbol" w:hAnsi="Symbol" w:hint="default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cs="Symbol" w:hAnsi="Symbol" w:hint="default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cs="Symbol" w:hAnsi="Symbol" w:hint="default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cs="Wingdings" w:hAnsi="Wingdings" w:hint="default"/>
      </w:rPr>
    </w:lvl>
  </w:abstractNum>
  <w:abstractNum w:abstractNumId="7">
    <w:lvl w:ilvl="0">
      <w:start w:val="1"/>
      <w:numFmt w:val="bullet"/>
      <w:lvlText w:val=""/>
      <w:lvlJc w:val="left"/>
      <w:pPr>
        <w:ind w:hanging="360" w:left="1440"/>
      </w:pPr>
      <w:rPr>
        <w:rFonts w:ascii="Symbol" w:cs="Symbol" w:hAnsi="Symbol" w:hint="default"/>
      </w:rPr>
    </w:lvl>
    <w:lvl w:ilvl="1">
      <w:start w:val="1"/>
      <w:numFmt w:val="bullet"/>
      <w:lvlText w:val="o"/>
      <w:lvlJc w:val="left"/>
      <w:pPr>
        <w:ind w:hanging="360" w:left="216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hanging="360" w:left="2880"/>
      </w:pPr>
      <w:rPr>
        <w:rFonts w:ascii="Wingdings" w:cs="Wingdings" w:hAnsi="Wingdings" w:hint="default"/>
      </w:rPr>
    </w:lvl>
    <w:lvl w:ilvl="3">
      <w:start w:val="1"/>
      <w:numFmt w:val="bullet"/>
      <w:lvlText w:val=""/>
      <w:lvlJc w:val="left"/>
      <w:pPr>
        <w:ind w:hanging="360" w:left="3600"/>
      </w:pPr>
      <w:rPr>
        <w:rFonts w:ascii="Symbol" w:cs="Symbol" w:hAnsi="Symbol" w:hint="default"/>
      </w:rPr>
    </w:lvl>
    <w:lvl w:ilvl="4">
      <w:start w:val="1"/>
      <w:numFmt w:val="bullet"/>
      <w:lvlText w:val="o"/>
      <w:lvlJc w:val="left"/>
      <w:pPr>
        <w:ind w:hanging="360" w:left="432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hanging="360" w:left="5040"/>
      </w:pPr>
      <w:rPr>
        <w:rFonts w:ascii="Wingdings" w:cs="Wingdings" w:hAnsi="Wingdings" w:hint="default"/>
      </w:rPr>
    </w:lvl>
    <w:lvl w:ilvl="6">
      <w:start w:val="1"/>
      <w:numFmt w:val="bullet"/>
      <w:lvlText w:val=""/>
      <w:lvlJc w:val="left"/>
      <w:pPr>
        <w:ind w:hanging="360" w:left="5760"/>
      </w:pPr>
      <w:rPr>
        <w:rFonts w:ascii="Symbol" w:cs="Symbol" w:hAnsi="Symbol" w:hint="default"/>
      </w:rPr>
    </w:lvl>
    <w:lvl w:ilvl="7">
      <w:start w:val="1"/>
      <w:numFmt w:val="bullet"/>
      <w:lvlText w:val="o"/>
      <w:lvlJc w:val="left"/>
      <w:pPr>
        <w:ind w:hanging="360" w:left="648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hanging="360" w:left="7200"/>
      </w:pPr>
      <w:rPr>
        <w:rFonts w:ascii="Wingdings" w:cs="Wingdings" w:hAnsi="Wingdings" w:hint="default"/>
      </w:rPr>
    </w:lvl>
  </w:abstractNum>
  <w:abstractNum w:abstractNumId="8">
    <w:lvl w:ilvl="0">
      <w:start w:val="1"/>
      <w:numFmt w:val="none"/>
      <w:suff w:val="nothing"/>
      <w:lvlText w:val=""/>
      <w:lvlJc w:val="left"/>
      <w:pPr>
        <w:tabs>
          <w:tab w:pos="432" w:val="num"/>
        </w:tabs>
        <w:ind w:hanging="432" w:left="432"/>
      </w:pPr>
    </w:lvl>
    <w:lvl w:ilvl="1">
      <w:start w:val="1"/>
      <w:numFmt w:val="none"/>
      <w:suff w:val="nothing"/>
      <w:lvlText w:val=""/>
      <w:lvlJc w:val="left"/>
      <w:pPr>
        <w:tabs>
          <w:tab w:pos="576" w:val="num"/>
        </w:tabs>
        <w:ind w:hanging="576" w:left="576"/>
      </w:pPr>
    </w:lvl>
    <w:lvl w:ilvl="2">
      <w:start w:val="1"/>
      <w:numFmt w:val="none"/>
      <w:suff w:val="nothing"/>
      <w:lvlText w:val=""/>
      <w:lvlJc w:val="left"/>
      <w:pPr>
        <w:tabs>
          <w:tab w:pos="720" w:val="num"/>
        </w:tabs>
        <w:ind w:hanging="720" w:left="720"/>
      </w:pPr>
    </w:lvl>
    <w:lvl w:ilvl="3">
      <w:start w:val="1"/>
      <w:numFmt w:val="none"/>
      <w:suff w:val="nothing"/>
      <w:lvlText w:val=""/>
      <w:lvlJc w:val="left"/>
      <w:pPr>
        <w:tabs>
          <w:tab w:pos="864" w:val="num"/>
        </w:tabs>
        <w:ind w:hanging="864" w:left="864"/>
      </w:pPr>
    </w:lvl>
    <w:lvl w:ilvl="4">
      <w:start w:val="1"/>
      <w:numFmt w:val="none"/>
      <w:suff w:val="nothing"/>
      <w:lvlText w:val=""/>
      <w:lvlJc w:val="left"/>
      <w:pPr>
        <w:tabs>
          <w:tab w:pos="1008" w:val="num"/>
        </w:tabs>
        <w:ind w:hanging="1008" w:left="1008"/>
      </w:pPr>
    </w:lvl>
    <w:lvl w:ilvl="5">
      <w:start w:val="1"/>
      <w:numFmt w:val="none"/>
      <w:suff w:val="nothing"/>
      <w:lvlText w:val=""/>
      <w:lvlJc w:val="left"/>
      <w:pPr>
        <w:tabs>
          <w:tab w:pos="1152" w:val="num"/>
        </w:tabs>
        <w:ind w:hanging="1152" w:left="1152"/>
      </w:pPr>
    </w:lvl>
    <w:lvl w:ilvl="6">
      <w:start w:val="1"/>
      <w:numFmt w:val="none"/>
      <w:suff w:val="nothing"/>
      <w:lvlText w:val=""/>
      <w:lvlJc w:val="left"/>
      <w:pPr>
        <w:tabs>
          <w:tab w:pos="1296" w:val="num"/>
        </w:tabs>
        <w:ind w:hanging="1296" w:left="1296"/>
      </w:pPr>
    </w:lvl>
    <w:lvl w:ilvl="7">
      <w:start w:val="1"/>
      <w:numFmt w:val="none"/>
      <w:suff w:val="nothing"/>
      <w:lvlText w:val=""/>
      <w:lvlJc w:val="left"/>
      <w:pPr>
        <w:tabs>
          <w:tab w:pos="1440" w:val="num"/>
        </w:tabs>
        <w:ind w:hanging="1440" w:left="1440"/>
      </w:pPr>
    </w:lvl>
    <w:lvl w:ilvl="8">
      <w:start w:val="1"/>
      <w:numFmt w:val="none"/>
      <w:suff w:val="nothing"/>
      <w:lvlText w:val=""/>
      <w:lvlJc w:val="left"/>
      <w:pPr>
        <w:tabs>
          <w:tab w:pos="1584" w:val="num"/>
        </w:tabs>
        <w:ind w:hanging="1584" w:left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100"/>
</w:settings>
</file>

<file path=word/styles.xml><?xml version="1.0" encoding="utf-8"?>
<w:styles xmlns:w="http://schemas.openxmlformats.org/wordprocessingml/2006/main">
  <w:style w:styleId="style0" w:type="paragraph">
    <w:name w:val="Padrão"/>
    <w:next w:val="style0"/>
    <w:pPr>
      <w:widowControl/>
      <w:tabs/>
      <w:suppressAutoHyphens w:val="true"/>
      <w:spacing w:after="200" w:before="0" w:line="276" w:lineRule="auto"/>
      <w:contextualSpacing w:val="false"/>
    </w:pPr>
    <w:rPr>
      <w:rFonts w:ascii="Calibri" w:cs="Calibri" w:eastAsia="SimSun" w:hAnsi="Calibri"/>
      <w:color w:val="00000A"/>
      <w:sz w:val="22"/>
      <w:szCs w:val="22"/>
      <w:lang w:bidi="ar-SA" w:eastAsia="en-US" w:val="pt-BR"/>
    </w:rPr>
  </w:style>
  <w:style w:styleId="style15" w:type="character">
    <w:name w:val="Default Paragraph Font"/>
    <w:next w:val="style15"/>
    <w:rPr/>
  </w:style>
  <w:style w:styleId="style16" w:type="character">
    <w:name w:val="Texto de balão Char"/>
    <w:basedOn w:val="style15"/>
    <w:next w:val="style16"/>
    <w:rPr>
      <w:rFonts w:ascii="Tahoma" w:cs="Tahoma" w:hAnsi="Tahoma"/>
      <w:sz w:val="16"/>
      <w:szCs w:val="16"/>
    </w:rPr>
  </w:style>
  <w:style w:styleId="style17" w:type="character">
    <w:name w:val="Cabeçalho Char"/>
    <w:basedOn w:val="style15"/>
    <w:next w:val="style17"/>
    <w:rPr/>
  </w:style>
  <w:style w:styleId="style18" w:type="character">
    <w:name w:val="Rodapé Char"/>
    <w:basedOn w:val="style15"/>
    <w:next w:val="style18"/>
    <w:rPr/>
  </w:style>
  <w:style w:styleId="style19" w:type="character">
    <w:name w:val="Recuo de corpo de texto Char"/>
    <w:basedOn w:val="style15"/>
    <w:next w:val="style19"/>
    <w:rPr>
      <w:rFonts w:ascii="Times New Roman" w:cs="Times New Roman" w:eastAsia="Times New Roman" w:hAnsi="Times New Roman"/>
      <w:sz w:val="24"/>
      <w:szCs w:val="24"/>
      <w:lang w:eastAsia="ar-SA"/>
    </w:rPr>
  </w:style>
  <w:style w:styleId="style20" w:type="character">
    <w:name w:val="Sem Espaçamento Char"/>
    <w:basedOn w:val="style15"/>
    <w:next w:val="style20"/>
    <w:rPr>
      <w:rFonts w:cs=""/>
    </w:rPr>
  </w:style>
  <w:style w:styleId="style21" w:type="character">
    <w:name w:val="Corpo de texto Char"/>
    <w:basedOn w:val="style15"/>
    <w:next w:val="style21"/>
    <w:rPr/>
  </w:style>
  <w:style w:styleId="style22" w:type="character">
    <w:name w:val="ListLabel 1"/>
    <w:next w:val="style22"/>
    <w:rPr>
      <w:rFonts w:cs="Courier New"/>
    </w:rPr>
  </w:style>
  <w:style w:styleId="style23" w:type="character">
    <w:name w:val="ListLabel 2"/>
    <w:next w:val="style23"/>
    <w:rPr>
      <w:rFonts w:cs="Symbol"/>
    </w:rPr>
  </w:style>
  <w:style w:styleId="style24" w:type="character">
    <w:name w:val="ListLabel 3"/>
    <w:next w:val="style24"/>
    <w:rPr>
      <w:rFonts w:cs="Courier New"/>
    </w:rPr>
  </w:style>
  <w:style w:styleId="style25" w:type="character">
    <w:name w:val="ListLabel 4"/>
    <w:next w:val="style25"/>
    <w:rPr>
      <w:rFonts w:cs="Wingdings"/>
    </w:rPr>
  </w:style>
  <w:style w:styleId="style26" w:type="paragraph">
    <w:name w:val="Título"/>
    <w:basedOn w:val="style0"/>
    <w:next w:val="style27"/>
    <w:pPr>
      <w:keepNext/>
      <w:spacing w:after="120" w:before="240"/>
      <w:contextualSpacing w:val="false"/>
    </w:pPr>
    <w:rPr>
      <w:rFonts w:ascii="Arial" w:cs="Mangal" w:eastAsia="Microsoft YaHei" w:hAnsi="Arial"/>
      <w:sz w:val="28"/>
      <w:szCs w:val="28"/>
    </w:rPr>
  </w:style>
  <w:style w:styleId="style27" w:type="paragraph">
    <w:name w:val="Corpo de texto"/>
    <w:basedOn w:val="style0"/>
    <w:next w:val="style27"/>
    <w:pPr>
      <w:spacing w:after="120" w:before="0"/>
      <w:contextualSpacing w:val="false"/>
    </w:pPr>
    <w:rPr/>
  </w:style>
  <w:style w:styleId="style28" w:type="paragraph">
    <w:name w:val="Lista"/>
    <w:basedOn w:val="style27"/>
    <w:next w:val="style28"/>
    <w:pPr/>
    <w:rPr>
      <w:rFonts w:cs="Mangal"/>
    </w:rPr>
  </w:style>
  <w:style w:styleId="style29" w:type="paragraph">
    <w:name w:val="Legenda"/>
    <w:basedOn w:val="style0"/>
    <w:next w:val="style29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30" w:type="paragraph">
    <w:name w:val="Índice"/>
    <w:basedOn w:val="style0"/>
    <w:next w:val="style30"/>
    <w:pPr>
      <w:suppressLineNumbers/>
    </w:pPr>
    <w:rPr>
      <w:rFonts w:cs="Mangal"/>
    </w:rPr>
  </w:style>
  <w:style w:styleId="style31" w:type="paragraph">
    <w:name w:val="List Paragraph"/>
    <w:basedOn w:val="style0"/>
    <w:next w:val="style31"/>
    <w:pPr>
      <w:spacing w:after="200" w:before="0"/>
      <w:ind w:hanging="0" w:left="720" w:right="0"/>
      <w:contextualSpacing/>
    </w:pPr>
    <w:rPr/>
  </w:style>
  <w:style w:styleId="style32" w:type="paragraph">
    <w:name w:val="Balloon Text"/>
    <w:basedOn w:val="style0"/>
    <w:next w:val="style32"/>
    <w:pPr>
      <w:spacing w:after="0" w:before="0" w:line="100" w:lineRule="atLeast"/>
      <w:contextualSpacing w:val="false"/>
    </w:pPr>
    <w:rPr>
      <w:rFonts w:ascii="Tahoma" w:cs="Tahoma" w:hAnsi="Tahoma"/>
      <w:sz w:val="16"/>
      <w:szCs w:val="16"/>
    </w:rPr>
  </w:style>
  <w:style w:styleId="style33" w:type="paragraph">
    <w:name w:val="Cabeçalho"/>
    <w:basedOn w:val="style0"/>
    <w:next w:val="style33"/>
    <w:pPr>
      <w:suppressLineNumbers/>
      <w:tabs>
        <w:tab w:leader="none" w:pos="4252" w:val="center"/>
        <w:tab w:leader="none" w:pos="8504" w:val="right"/>
      </w:tabs>
      <w:spacing w:after="0" w:before="0" w:line="100" w:lineRule="atLeast"/>
      <w:contextualSpacing w:val="false"/>
    </w:pPr>
    <w:rPr/>
  </w:style>
  <w:style w:styleId="style34" w:type="paragraph">
    <w:name w:val="Rodapé"/>
    <w:basedOn w:val="style0"/>
    <w:next w:val="style34"/>
    <w:pPr>
      <w:suppressLineNumbers/>
      <w:tabs>
        <w:tab w:leader="none" w:pos="4252" w:val="center"/>
        <w:tab w:leader="none" w:pos="8504" w:val="right"/>
      </w:tabs>
      <w:spacing w:after="0" w:before="0" w:line="100" w:lineRule="atLeast"/>
      <w:contextualSpacing w:val="false"/>
    </w:pPr>
    <w:rPr/>
  </w:style>
  <w:style w:styleId="style35" w:type="paragraph">
    <w:name w:val="Corpo de texto recuado"/>
    <w:basedOn w:val="style0"/>
    <w:next w:val="style35"/>
    <w:pPr>
      <w:suppressAutoHyphens w:val="true"/>
      <w:spacing w:after="120" w:before="0" w:line="100" w:lineRule="atLeast"/>
      <w:ind w:hanging="0" w:left="283" w:right="0"/>
      <w:contextualSpacing w:val="false"/>
    </w:pPr>
    <w:rPr>
      <w:rFonts w:ascii="Times New Roman" w:cs="Times New Roman" w:eastAsia="Times New Roman" w:hAnsi="Times New Roman"/>
      <w:sz w:val="24"/>
      <w:szCs w:val="24"/>
      <w:lang w:eastAsia="ar-SA"/>
    </w:rPr>
  </w:style>
  <w:style w:styleId="style36" w:type="paragraph">
    <w:name w:val="No Spacing"/>
    <w:next w:val="style36"/>
    <w:pPr>
      <w:widowControl/>
      <w:tabs/>
      <w:suppressAutoHyphens w:val="true"/>
      <w:spacing w:after="0" w:before="0" w:line="100" w:lineRule="atLeast"/>
      <w:contextualSpacing w:val="false"/>
    </w:pPr>
    <w:rPr>
      <w:rFonts w:ascii="Calibri" w:cs="" w:eastAsia="SimSun" w:hAnsi="Calibri"/>
      <w:color w:val="00000A"/>
      <w:sz w:val="22"/>
      <w:szCs w:val="22"/>
      <w:lang w:bidi="ar-SA" w:eastAsia="en-US" w:val="pt-BR"/>
    </w:rPr>
  </w:style>
  <w:style w:styleId="style37" w:type="paragraph">
    <w:name w:val="Conteúdo do quadro"/>
    <w:basedOn w:val="style27"/>
    <w:next w:val="style37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2018-01-30T11:14:00.00Z</dcterms:created>
  <dc:creator>SMS</dc:creator>
  <cp:lastModifiedBy>SMS</cp:lastModifiedBy>
  <cp:lastPrinted>2020-01-06T17:45:00.00Z</cp:lastPrinted>
  <dcterms:modified xsi:type="dcterms:W3CDTF">2020-01-06T18:09:00.00Z</dcterms:modified>
  <cp:revision>16</cp:revision>
</cp:coreProperties>
</file>