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46"/>
        <w:spacing w:after="600" w:before="28"/>
        <w:contextualSpacing w:val="false"/>
        <w:jc w:val="center"/>
      </w:pPr>
      <w:r>
        <w:rPr/>
      </w:r>
    </w:p>
    <w:p>
      <w:pPr>
        <w:pStyle w:val="style46"/>
        <w:spacing w:after="600" w:before="28"/>
        <w:contextualSpacing w:val="false"/>
        <w:jc w:val="center"/>
      </w:pPr>
      <w:r>
        <w:rPr>
          <w:rFonts w:ascii="Calibri" w:cs="Calibri" w:hAnsi="Calibri"/>
          <w:b/>
          <w:sz w:val="28"/>
          <w:szCs w:val="24"/>
        </w:rPr>
        <w:t>ANEXO VIII – PROJETO BÁSICO</w:t>
      </w:r>
      <w:r>
        <w:rPr>
          <w:rFonts w:ascii="Calibri" w:cs="Calibri" w:hAnsi="Calibri"/>
          <w:b/>
          <w:sz w:val="28"/>
          <w:szCs w:val="24"/>
        </w:rPr>
        <w:br/>
      </w:r>
    </w:p>
    <w:p>
      <w:pPr>
        <w:pStyle w:val="style44"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>DO OBJETO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 w:eastAsia="Arial"/>
          <w:sz w:val="24"/>
          <w:szCs w:val="24"/>
        </w:rPr>
        <w:t xml:space="preserve">Aquisição de </w:t>
      </w:r>
      <w:r>
        <w:rPr>
          <w:rFonts w:cs="Calibri" w:eastAsia="Arial"/>
          <w:i/>
          <w:sz w:val="24"/>
          <w:szCs w:val="24"/>
        </w:rPr>
        <w:t xml:space="preserve">Tablets </w:t>
      </w:r>
      <w:r>
        <w:rPr>
          <w:rFonts w:cs="Calibri" w:eastAsia="Arial"/>
          <w:sz w:val="24"/>
          <w:szCs w:val="24"/>
        </w:rPr>
        <w:t xml:space="preserve">para uso dos profissionais da Atenção Básica, da Vigilância em Saúde e do Serviço de Atenção Domiciliar. </w:t>
      </w:r>
    </w:p>
    <w:p>
      <w:pPr>
        <w:pStyle w:val="style44"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>DA ESPECIFICAÇÃO</w:t>
      </w:r>
    </w:p>
    <w:tbl>
      <w:tblPr>
        <w:jc w:val="left"/>
        <w:tblInd w:type="dxa" w:w="-216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959"/>
        <w:gridCol w:w="6093"/>
        <w:gridCol w:w="1133"/>
        <w:gridCol w:w="1135"/>
      </w:tblGrid>
      <w:tr>
        <w:trPr>
          <w:trHeight w:hRule="atLeast" w:val="471"/>
          <w:cantSplit w:val="false"/>
        </w:trPr>
        <w:tc>
          <w:tcPr>
            <w:tcW w:type="dxa" w:w="95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</w:pPr>
            <w:r>
              <w:rPr>
                <w:rFonts w:cs="Calibri"/>
                <w:b/>
                <w:sz w:val="24"/>
                <w:szCs w:val="24"/>
              </w:rPr>
              <w:t>ITEM</w:t>
            </w:r>
          </w:p>
        </w:tc>
        <w:tc>
          <w:tcPr>
            <w:tcW w:type="dxa" w:w="60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</w:pPr>
            <w:r>
              <w:rPr>
                <w:rFonts w:cs="Calibri"/>
                <w:b/>
                <w:sz w:val="24"/>
                <w:szCs w:val="24"/>
              </w:rPr>
              <w:t>DESCRIÇÃO</w:t>
            </w:r>
          </w:p>
        </w:tc>
        <w:tc>
          <w:tcPr>
            <w:tcW w:type="dxa" w:w="113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</w:pPr>
            <w:r>
              <w:rPr>
                <w:rFonts w:cs="Calibri"/>
                <w:b/>
                <w:sz w:val="24"/>
                <w:szCs w:val="24"/>
              </w:rPr>
              <w:t>QUANT.</w:t>
            </w:r>
          </w:p>
        </w:tc>
        <w:tc>
          <w:tcPr>
            <w:tcW w:type="dxa" w:w="113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</w:pPr>
            <w:r>
              <w:rPr>
                <w:rFonts w:cs="Calibri"/>
                <w:b/>
                <w:sz w:val="24"/>
                <w:szCs w:val="24"/>
              </w:rPr>
              <w:t>TOTAL GERAL</w:t>
            </w:r>
          </w:p>
        </w:tc>
      </w:tr>
      <w:tr>
        <w:trPr>
          <w:trHeight w:hRule="atLeast" w:val="471"/>
          <w:cantSplit w:val="false"/>
        </w:trPr>
        <w:tc>
          <w:tcPr>
            <w:tcW w:type="dxa" w:w="95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cs="Calibri"/>
                <w:b/>
                <w:sz w:val="24"/>
                <w:szCs w:val="24"/>
              </w:rPr>
              <w:t>01</w:t>
            </w:r>
          </w:p>
        </w:tc>
        <w:tc>
          <w:tcPr>
            <w:tcW w:type="dxa" w:w="60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Tela de 7” com tecnologia LED;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Sistema operacional Android 7.0 ou superior;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Processador no minímo Quad Core 1.3 GHz ou similar;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 xml:space="preserve">Memória RAM </w:t>
            </w:r>
            <w:r>
              <w:rPr>
                <w:rFonts w:cs="Calibri" w:eastAsia="Arial"/>
                <w:sz w:val="24"/>
                <w:szCs w:val="24"/>
              </w:rPr>
              <w:t>1</w:t>
            </w:r>
            <w:r>
              <w:rPr>
                <w:rFonts w:cs="Calibri" w:eastAsia="Arial"/>
                <w:sz w:val="24"/>
                <w:szCs w:val="24"/>
              </w:rPr>
              <w:t xml:space="preserve"> GB ou superior;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Memória interna de 16 GB ou superior;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Slot para cartão de memória microsd;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Câmera traseira de no mínimo 2MP ou superior;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 xml:space="preserve">Conexão USB, Wi-fi, Bluetooth e 3G </w:t>
            </w:r>
            <w:r>
              <w:rPr>
                <w:rFonts w:cs="Calibri" w:eastAsia="Arial"/>
                <w:sz w:val="24"/>
                <w:szCs w:val="24"/>
              </w:rPr>
              <w:t xml:space="preserve"> ou superior</w:t>
            </w:r>
            <w:r>
              <w:rPr>
                <w:rFonts w:cs="Calibri" w:eastAsia="Arial"/>
                <w:sz w:val="24"/>
                <w:szCs w:val="24"/>
              </w:rPr>
              <w:t>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Sistema de GPS integrado;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 xml:space="preserve">Bateria: </w:t>
            </w:r>
            <w:r>
              <w:rPr>
                <w:rFonts w:cs="Calibri" w:eastAsia="Arial"/>
                <w:sz w:val="24"/>
                <w:szCs w:val="24"/>
              </w:rPr>
              <w:t>2700</w:t>
            </w:r>
            <w:r>
              <w:rPr>
                <w:rFonts w:cs="Calibri" w:eastAsia="Arial"/>
                <w:sz w:val="24"/>
                <w:szCs w:val="24"/>
              </w:rPr>
              <w:t xml:space="preserve"> mAh (Duração 8 h aproximadamente) </w:t>
            </w:r>
            <w:r>
              <w:rPr>
                <w:rFonts w:cs="Calibri" w:eastAsia="Arial"/>
                <w:sz w:val="24"/>
                <w:szCs w:val="24"/>
              </w:rPr>
              <w:t>ou superior</w:t>
            </w:r>
            <w:r>
              <w:rPr>
                <w:rFonts w:cs="Calibri" w:eastAsia="Arial"/>
                <w:sz w:val="24"/>
                <w:szCs w:val="24"/>
              </w:rPr>
              <w:t>;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Acessórios: Carregador e cabo.</w:t>
            </w:r>
          </w:p>
        </w:tc>
        <w:tc>
          <w:tcPr>
            <w:tcW w:type="dxa" w:w="113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cs="Calibri"/>
                <w:b/>
                <w:sz w:val="24"/>
                <w:szCs w:val="24"/>
              </w:rPr>
              <w:t>250</w:t>
            </w:r>
          </w:p>
        </w:tc>
        <w:tc>
          <w:tcPr>
            <w:tcW w:type="dxa" w:w="113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cs="Calibri"/>
                <w:b/>
                <w:sz w:val="24"/>
                <w:szCs w:val="24"/>
              </w:rPr>
              <w:t>250</w:t>
            </w:r>
          </w:p>
        </w:tc>
      </w:tr>
      <w:tr>
        <w:trPr>
          <w:trHeight w:hRule="atLeast" w:val="471"/>
          <w:cantSplit w:val="false"/>
        </w:trPr>
        <w:tc>
          <w:tcPr>
            <w:tcW w:type="dxa" w:w="95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cs="Calibri"/>
                <w:b/>
                <w:sz w:val="24"/>
                <w:szCs w:val="24"/>
              </w:rPr>
              <w:t>02</w:t>
            </w:r>
          </w:p>
        </w:tc>
        <w:tc>
          <w:tcPr>
            <w:tcW w:type="dxa" w:w="609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numPr>
                <w:ilvl w:val="0"/>
                <w:numId w:val="3"/>
              </w:numPr>
              <w:spacing w:after="0" w:before="0" w:line="100" w:lineRule="atLeast"/>
              <w:ind w:hanging="360" w:left="459" w:right="-17"/>
              <w:contextualSpacing w:val="false"/>
            </w:pPr>
            <w:r>
              <w:rPr>
                <w:rFonts w:cs="Calibri" w:eastAsia="Arial"/>
                <w:sz w:val="24"/>
                <w:szCs w:val="24"/>
              </w:rPr>
              <w:t>Capa protetora dobrável para tablet 7”.</w:t>
            </w:r>
          </w:p>
        </w:tc>
        <w:tc>
          <w:tcPr>
            <w:tcW w:type="dxa" w:w="113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cs="Calibri"/>
                <w:b/>
                <w:sz w:val="24"/>
                <w:szCs w:val="24"/>
              </w:rPr>
              <w:t>250</w:t>
            </w:r>
          </w:p>
        </w:tc>
        <w:tc>
          <w:tcPr>
            <w:tcW w:type="dxa" w:w="113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</w:pPr>
            <w:r>
              <w:rPr>
                <w:rFonts w:cs="Calibri"/>
                <w:b/>
                <w:sz w:val="24"/>
                <w:szCs w:val="24"/>
              </w:rPr>
              <w:t>250</w:t>
            </w:r>
          </w:p>
        </w:tc>
      </w:tr>
    </w:tbl>
    <w:p>
      <w:pPr>
        <w:pStyle w:val="style44"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 xml:space="preserve">DA JUSTIFICATIVA 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 w:eastAsia="Arial"/>
          <w:sz w:val="24"/>
          <w:szCs w:val="24"/>
        </w:rPr>
        <w:t xml:space="preserve">O mercado de TI tem buscado inovar constantemente no sentido de atender, cada vez mais, às necessidades dos usuários. É certo, também, que essas inovações têm aliado a celeridade no desempenho das atividades diárias de trabalho a instrumentos de controle, que propiciam ações qualitativas e de segurança. Com novos recursos de portabilidade, produtividade e integração, a tecnologia tem se tornado a grande parceira no desenvolvimento e modernização das corporações, sejam públicas ou privadas. As facilidades desses artefatos de trabalho, compostos de elementos e interfaces mais acessíveis, permitem, aos profissionais, a realização das tarefas de forma rápida, segura e intuitiva. A Secretaria Municipal de Saúde (SMS) de Itaboraí, vem, ao longo dos anos, incorporando às suas atividades a utilização de ferramentas com o objetivo de agilizar os seus serviços, sejam da área meio ou da área fim. Certas categorias profissionais, como Agentes Comunitários de Saúde, realizam suas tarefas externamente através de visitas domiciliares e territoriais. E, nesse diapasão, estão em funcionamento os sistemas da Estratégia e-SUS AB, dentre eles os apps e-SUS AB Território, e-SUS AB Atividade Coletiva e e-SUS AD (Atenção Domiciliar). Estes apps são disponibilizados gratuitamente para tablets com o sistema Android pelo Departamento de Informática do SUS (DATASUS/MS). Essa dinâmica que vem sendo implantada na SMS é responsável por uma efetiva quebra de paradigma em todo processamento das informações de saúde e incorpora ao dia-a-dia dos profissionais da SMS um relevante componente de sustentabilidade, ao eliminar a utilização do papel. Não é demais ressaltar que a implantação dos softwares da Estratégia e-SUS AB revoluciona, ao reduzir fronteiras, extinguir limites e dá mais isonomia às partes ou qualquer do povo. Pode-se, então, afirmar que o Saúde estará mais acessível e terá uma qualificação maior nas informações coletadas pelos profissionais de saúde. Por outro lado, o ganho na Administração pública se efetiva com a eliminação do material gráfico necessário para o cadastramento dos cidadãos e coleta das informações dos profissionais durante as visitas domiciliares e territoriais. E, nesse caminho, o mercado desenvolveu e oferece uma das ferramentas mais úteis às atuais práticas da Saúde, que são os tablets, com suas características de portabilidade, as quais até o presente momento não eram ofertadas, dimensões e peso reduzidos, utilizando-se das tecnologias de comunicação via wi-fi ou 4G, essas características os habilitam a fornecer aos profissionais da Atenção Básica uma elevada capacidade de processamento, independentemente da localização física do usuário, garantindo a acessibilidade necessária para a realização de produtividade nunca imaginada. Assim, em razão da utilização/implementação de sistemas revolucionários na SMS e no ensejo de propiciar a mobilidade dos profissionais, sem prejuízo da sua produtividade, é que se busca dotar esta Secretaria com os equipamentos aqui apresentados, tudo em consonância com o objetivo maior desta Instituição, que é de atender de maneira eficaz, eficiente e efetiva os cidadãos. </w:t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p>
      <w:pPr>
        <w:pStyle w:val="style44"/>
        <w:pageBreakBefore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>DO PAGAMENTO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>O pagamento será efetuado 30 (trinta) dias contados a partir da data de entrega efetiva do produto, a mesma deverá ser acompanhada da Nota Fiscal.</w:t>
      </w:r>
    </w:p>
    <w:p>
      <w:pPr>
        <w:pStyle w:val="style44"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>DAS CONDIÇÕES E LOCAL DE ENTREGA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bookmarkStart w:id="0" w:name="_GoBack"/>
      <w:bookmarkEnd w:id="0"/>
      <w:r>
        <w:rPr>
          <w:rFonts w:cs="Calibri"/>
          <w:sz w:val="24"/>
          <w:szCs w:val="24"/>
        </w:rPr>
        <w:t>A entrega deverá ser no ALMOXARIFADO da Prefeitura Municipal de Itaboraí localizado na Rua Dr. Pereira dos Santos s/n° Centro – Itaboraí, das 8 às 16h.</w:t>
      </w:r>
    </w:p>
    <w:p>
      <w:pPr>
        <w:pStyle w:val="style44"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>DAS CONDIÇÕES DE RECEBIMENTO DO OBJETO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>O fornecedor está sujeito a fiscalização do produto no ato da entrega e posteriormente, reservando-se a esta Prefeitura Municipal, através do responsável, o direito de não receber o produto, caso o mesmo não se encontre em condições satisfatórias ou no caso de o produto não ser de qualidade;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>Caso o produto seja entregue em desacordo com os requisitos estabelecidos pela Prefeitura, ou em quantidade inferior ao estabelecido, à empresa deverá substituí-lo ou complementá-lo em no máximo 72 horas;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>A empresa vencedora do certame obriga-se a fornecer o objeto a que se refere este Termo de Referência de acordo estritamente com as especificações aqui descritas, sendo de sua inteira responsabilidade não estar em conformidade com as referidas especificações;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>Recebido o objeto, se a qualquer tempo durante a sua utilização normal vier a se constatar discrepância com as especificações, proceder-se-á a imediata notificação da empresa a ser contratada para efetuar a substituição do mesmo.</w:t>
      </w:r>
    </w:p>
    <w:p>
      <w:pPr>
        <w:pStyle w:val="style44"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 xml:space="preserve">DA GARANTIA 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 xml:space="preserve">A contratada se obriga, dentro do prazo mínimo de 12 (doze) meses, contados a partir do recebimento definitivo, prestar garantia “on site” (local) contra defeito de fabricação, sem qualquer ônus adicional para a Secretaria Municipal de Saúde (SMS) de Itaboraí; 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 xml:space="preserve">No caso de haver defeitos nas peças e, se consequentemente houver substituição, a garantia será contada a partir da nova data da substituição das peças defeituosas; 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>Os serviços de garantia aos produtos deverão ser prestados pela empresa contratada, pelo fabricante dos equipamentos ou por empresa credenciada à rede nacional de assistência técnica autorizada pelo fabricante dos produtos fornecidos;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 xml:space="preserve">Os serviços serão solicitados mediante a abertura de um chamado efetuado por técnicos do CONTRATANTE, via chamada telefônica local à CONTRATADA, em dias úteis, das 8 às 17h; 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 xml:space="preserve">Tempo de solução máximo do chamado de 04(quatro) dias corridos a partir da abertura do chamado, para todos os componentes internos, excluindo-se sábados, domingos e feriados; </w:t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 xml:space="preserve">O período de garantia estará mencionado na nota fiscal de venda do produto. </w:t>
      </w:r>
    </w:p>
    <w:p>
      <w:pPr>
        <w:pStyle w:val="style44"/>
        <w:spacing w:after="120" w:before="120" w:line="360" w:lineRule="auto"/>
        <w:ind w:hanging="432" w:left="709" w:right="-15"/>
        <w:contextualSpacing/>
        <w:jc w:val="both"/>
      </w:pPr>
      <w:r>
        <w:rPr/>
      </w:r>
    </w:p>
    <w:p>
      <w:pPr>
        <w:pStyle w:val="style44"/>
        <w:spacing w:after="120" w:before="120" w:line="360" w:lineRule="auto"/>
        <w:ind w:hanging="432" w:left="709" w:right="-15"/>
        <w:contextualSpacing/>
        <w:jc w:val="both"/>
      </w:pPr>
      <w:r>
        <w:rPr/>
      </w:r>
    </w:p>
    <w:p>
      <w:pPr>
        <w:pStyle w:val="style44"/>
        <w:spacing w:after="120" w:before="120" w:line="360" w:lineRule="auto"/>
        <w:ind w:hanging="432" w:left="709" w:right="-15"/>
        <w:contextualSpacing/>
        <w:jc w:val="both"/>
      </w:pPr>
      <w:r>
        <w:rPr/>
      </w:r>
    </w:p>
    <w:p>
      <w:pPr>
        <w:pStyle w:val="style44"/>
        <w:numPr>
          <w:ilvl w:val="0"/>
          <w:numId w:val="2"/>
        </w:numPr>
        <w:spacing w:after="240" w:before="240" w:line="480" w:lineRule="auto"/>
        <w:ind w:hanging="425" w:left="425" w:right="-17"/>
        <w:contextualSpacing/>
        <w:jc w:val="both"/>
      </w:pPr>
      <w:r>
        <w:rPr>
          <w:rFonts w:cs="Calibri" w:eastAsia="Arial"/>
          <w:b/>
          <w:sz w:val="24"/>
          <w:szCs w:val="24"/>
        </w:rPr>
        <w:t>DA PROPOSTA DE PREÇO</w:t>
      </w:r>
    </w:p>
    <w:p>
      <w:pPr>
        <w:pStyle w:val="style44"/>
        <w:spacing w:after="240" w:before="240" w:line="480" w:lineRule="auto"/>
        <w:ind w:hanging="425" w:left="425" w:right="-17"/>
        <w:contextualSpacing/>
        <w:jc w:val="both"/>
      </w:pPr>
      <w:r>
        <w:rPr/>
      </w:r>
    </w:p>
    <w:p>
      <w:pPr>
        <w:pStyle w:val="style44"/>
        <w:numPr>
          <w:ilvl w:val="1"/>
          <w:numId w:val="2"/>
        </w:numPr>
        <w:spacing w:after="120" w:before="120" w:line="360" w:lineRule="auto"/>
        <w:ind w:hanging="432" w:left="709" w:right="-15"/>
        <w:contextualSpacing/>
        <w:jc w:val="both"/>
      </w:pPr>
      <w:r>
        <w:rPr>
          <w:rFonts w:cs="Calibri"/>
          <w:sz w:val="24"/>
          <w:szCs w:val="24"/>
        </w:rPr>
        <w:t>A validade da proposta não proposta não poderá ser inferior a 60 (sessenta) dias, contados a partir da data da sua apresentação.</w:t>
      </w:r>
    </w:p>
    <w:p>
      <w:pPr>
        <w:pStyle w:val="style0"/>
        <w:spacing w:after="120" w:before="600" w:line="360" w:lineRule="auto"/>
        <w:contextualSpacing w:val="false"/>
        <w:jc w:val="right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567" w:footer="112" w:gutter="0" w:header="651" w:left="1134" w:right="1134" w:top="708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2"/>
      <w:jc w:val="right"/>
    </w:pPr>
    <w:r>
      <w:rPr/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</w:p>
  <w:p>
    <w:pPr>
      <w:pStyle w:val="style41"/>
      <w:tabs>
        <w:tab w:leader="none" w:pos="4252" w:val="center"/>
        <w:tab w:leader="none" w:pos="4820" w:val="center"/>
        <w:tab w:leader="none" w:pos="8504" w:val="right"/>
      </w:tabs>
      <w:jc w:val="right"/>
    </w:pPr>
    <w:r>
      <w:rPr/>
    </w:r>
  </w:p>
  <w:p>
    <w:pPr>
      <w:pStyle w:val="style0"/>
      <w:spacing w:after="0" w:before="0" w:line="100" w:lineRule="atLeast"/>
      <w:contextualSpacing w:val="false"/>
      <w:jc w:val="center"/>
    </w:pPr>
    <w:r>
      <w:rPr/>
    </w:r>
  </w:p>
  <w:p>
    <w:pPr>
      <w:pStyle w:val="style42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  <w:ind w:hanging="0" w:left="2977" w:right="0"/>
      <w:jc w:val="left"/>
    </w:pPr>
    <w:r>
      <w:rPr/>
      <w:drawing>
        <wp:anchor allowOverlap="1" behindDoc="0" distB="0" distL="0" distR="0" distT="0" layoutInCell="1" locked="0" relativeHeight="3" simplePos="0">
          <wp:simplePos x="0" y="0"/>
          <wp:positionH relativeFrom="character">
            <wp:posOffset>73025</wp:posOffset>
          </wp:positionH>
          <wp:positionV relativeFrom="line">
            <wp:posOffset>-151765</wp:posOffset>
          </wp:positionV>
          <wp:extent cx="1918970" cy="720725"/>
          <wp:effectExtent b="0" l="0" r="0" t="0"/>
          <wp:wrapTopAndBottom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2" w:left="792"/>
      </w:pPr>
    </w:lvl>
    <w:lvl w:ilvl="2">
      <w:start w:val="1"/>
      <w:numFmt w:val="decimal"/>
      <w:lvlText w:val="%1.%2.%3."/>
      <w:lvlJc w:val="left"/>
      <w:pPr>
        <w:ind w:hanging="504" w:left="1224"/>
      </w:pPr>
    </w:lvl>
    <w:lvl w:ilvl="3">
      <w:start w:val="1"/>
      <w:numFmt w:val="decimal"/>
      <w:lvlText w:val="%1.%2.%3.%4."/>
      <w:lvlJc w:val="left"/>
      <w:pPr>
        <w:ind w:hanging="648" w:left="1728"/>
      </w:pPr>
    </w:lvl>
    <w:lvl w:ilvl="4">
      <w:start w:val="1"/>
      <w:numFmt w:val="decimal"/>
      <w:lvlText w:val="%1.%2.%3.%4.%5."/>
      <w:lvlJc w:val="left"/>
      <w:pPr>
        <w:ind w:hanging="792" w:left="2232"/>
      </w:pPr>
    </w:lvl>
    <w:lvl w:ilvl="5">
      <w:start w:val="1"/>
      <w:numFmt w:val="decimal"/>
      <w:lvlText w:val="%1.%2.%3.%4.%5.%6."/>
      <w:lvlJc w:val="left"/>
      <w:pPr>
        <w:ind w:hanging="936" w:left="2736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4" w:left="3744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3">
    <w:lvl w:ilvl="0">
      <w:start w:val="1"/>
      <w:numFmt w:val="bullet"/>
      <w:lvlText w:val=""/>
      <w:lvlJc w:val="left"/>
      <w:pPr>
        <w:ind w:hanging="360" w:left="1089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809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529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249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969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689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409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129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849"/>
      </w:pPr>
      <w:rPr>
        <w:rFonts w:ascii="Wingdings" w:cs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6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Calibri" w:hAnsi="Calibri"/>
      <w:color w:val="000000"/>
      <w:sz w:val="24"/>
      <w:szCs w:val="24"/>
      <w:lang w:bidi="ar-SA" w:eastAsia="pt-BR" w:val="pt-BR"/>
    </w:rPr>
  </w:style>
  <w:style w:styleId="style1" w:type="paragraph">
    <w:name w:val="Título 1"/>
    <w:basedOn w:val="style0"/>
    <w:next w:val="style37"/>
    <w:pPr>
      <w:keepNext/>
      <w:numPr>
        <w:ilvl w:val="0"/>
        <w:numId w:val="1"/>
      </w:numPr>
      <w:suppressAutoHyphens w:val="true"/>
      <w:spacing w:after="0" w:before="0" w:line="100" w:lineRule="atLeast"/>
      <w:contextualSpacing w:val="false"/>
      <w:outlineLvl w:val="0"/>
    </w:pPr>
    <w:rPr>
      <w:rFonts w:ascii="Times New Roman" w:eastAsia="Times New Roman" w:hAnsi="Times New Roman"/>
      <w:b/>
      <w:bCs/>
      <w:sz w:val="20"/>
      <w:szCs w:val="28"/>
      <w:lang w:eastAsia="ar-S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Corpo de texto Char"/>
    <w:next w:val="style18"/>
    <w:rPr>
      <w:rFonts w:ascii="Arial" w:cs="Arial" w:eastAsia="Times New Roman" w:hAnsi="Arial"/>
      <w:sz w:val="28"/>
      <w:szCs w:val="24"/>
    </w:rPr>
  </w:style>
  <w:style w:styleId="style19" w:type="character">
    <w:name w:val="Texto de balão Char"/>
    <w:next w:val="style19"/>
    <w:rPr>
      <w:rFonts w:ascii="Segoe UI" w:cs="Segoe UI" w:hAnsi="Segoe UI"/>
      <w:sz w:val="18"/>
      <w:szCs w:val="18"/>
      <w:lang w:eastAsia="en-US"/>
    </w:rPr>
  </w:style>
  <w:style w:styleId="style20" w:type="character">
    <w:name w:val="apple-converted-space"/>
    <w:basedOn w:val="style15"/>
    <w:next w:val="style20"/>
    <w:rPr/>
  </w:style>
  <w:style w:styleId="style21" w:type="character">
    <w:name w:val="Título 1 Char"/>
    <w:next w:val="style21"/>
    <w:rPr>
      <w:rFonts w:ascii="Times New Roman" w:eastAsia="Times New Roman" w:hAnsi="Times New Roman"/>
      <w:b/>
      <w:sz w:val="22"/>
      <w:szCs w:val="22"/>
      <w:lang w:eastAsia="ar-SA"/>
    </w:rPr>
  </w:style>
  <w:style w:styleId="style22" w:type="character">
    <w:name w:val="ListLabel 1"/>
    <w:next w:val="style22"/>
    <w:rPr>
      <w:rFonts w:cs="Courier New"/>
    </w:rPr>
  </w:style>
  <w:style w:styleId="style23" w:type="character">
    <w:name w:val="ListLabel 2"/>
    <w:next w:val="style23"/>
    <w:rPr>
      <w:b/>
      <w:sz w:val="22"/>
      <w:szCs w:val="22"/>
    </w:rPr>
  </w:style>
  <w:style w:styleId="style24" w:type="character">
    <w:name w:val="ListLabel 3"/>
    <w:next w:val="style24"/>
    <w:rPr>
      <w:rFonts w:cs="Arial" w:eastAsia="Calibri"/>
    </w:rPr>
  </w:style>
  <w:style w:styleId="style25" w:type="character">
    <w:name w:val="ListLabel 4"/>
    <w:next w:val="style25"/>
    <w:rPr>
      <w:sz w:val="20"/>
    </w:rPr>
  </w:style>
  <w:style w:styleId="style26" w:type="character">
    <w:name w:val="ListLabel 5"/>
    <w:next w:val="style26"/>
    <w:rPr>
      <w:color w:val="00000A"/>
    </w:rPr>
  </w:style>
  <w:style w:styleId="style27" w:type="character">
    <w:name w:val="ListLabel 6"/>
    <w:next w:val="style27"/>
    <w:rPr>
      <w:b/>
    </w:rPr>
  </w:style>
  <w:style w:styleId="style28" w:type="character">
    <w:name w:val="ListLabel 7"/>
    <w:next w:val="style28"/>
    <w:rPr>
      <w:b/>
      <w:sz w:val="22"/>
    </w:rPr>
  </w:style>
  <w:style w:styleId="style29" w:type="character">
    <w:name w:val="ListLabel 8"/>
    <w:next w:val="style29"/>
    <w:rPr>
      <w:rFonts w:cs="Arial" w:eastAsia="Arial"/>
      <w:b/>
      <w:i w:val="false"/>
      <w:strike w:val="false"/>
      <w:dstrike w:val="false"/>
      <w:color w:val="000000"/>
      <w:position w:val="0"/>
      <w:sz w:val="23"/>
      <w:sz w:val="23"/>
      <w:u w:val="single"/>
      <w:shd w:fill="FFFFFF" w:val="clear"/>
      <w:vertAlign w:val="baseline"/>
    </w:rPr>
  </w:style>
  <w:style w:styleId="style30" w:type="character">
    <w:name w:val="ListLabel 9"/>
    <w:next w:val="style30"/>
    <w:rPr>
      <w:rFonts w:cs="Arial" w:eastAsia="Arial"/>
      <w:b w:val="false"/>
      <w:i w:val="false"/>
      <w:strike w:val="false"/>
      <w:dstrike w:val="false"/>
      <w:color w:val="000000"/>
      <w:position w:val="0"/>
      <w:sz w:val="23"/>
      <w:sz w:val="23"/>
      <w:u w:val="none"/>
      <w:shd w:fill="FFFFFF" w:val="clear"/>
      <w:vertAlign w:val="baseline"/>
    </w:rPr>
  </w:style>
  <w:style w:styleId="style31" w:type="character">
    <w:name w:val="ListLabel 10"/>
    <w:next w:val="style31"/>
    <w:rPr>
      <w:rFonts w:cs="Symbol"/>
    </w:rPr>
  </w:style>
  <w:style w:styleId="style32" w:type="character">
    <w:name w:val="ListLabel 11"/>
    <w:next w:val="style32"/>
    <w:rPr>
      <w:rFonts w:cs="Courier New"/>
    </w:rPr>
  </w:style>
  <w:style w:styleId="style33" w:type="character">
    <w:name w:val="ListLabel 12"/>
    <w:next w:val="style33"/>
    <w:rPr>
      <w:rFonts w:cs="Wingdings"/>
    </w:rPr>
  </w:style>
  <w:style w:styleId="style34" w:type="character">
    <w:name w:val="ListLabel 13"/>
    <w:next w:val="style34"/>
    <w:rPr>
      <w:b/>
      <w:i w:val="false"/>
      <w:strike w:val="false"/>
      <w:dstrike w:val="false"/>
      <w:color w:val="000000"/>
      <w:position w:val="0"/>
      <w:sz w:val="23"/>
      <w:sz w:val="23"/>
      <w:u w:val="single"/>
      <w:shd w:fill="FFFFFF" w:val="clear"/>
      <w:vertAlign w:val="baseline"/>
    </w:rPr>
  </w:style>
  <w:style w:styleId="style35" w:type="character">
    <w:name w:val="ListLabel 14"/>
    <w:next w:val="style35"/>
    <w:rPr>
      <w:b w:val="false"/>
      <w:i w:val="false"/>
      <w:strike w:val="false"/>
      <w:dstrike w:val="false"/>
      <w:color w:val="000000"/>
      <w:position w:val="0"/>
      <w:sz w:val="23"/>
      <w:sz w:val="23"/>
      <w:u w:val="none"/>
      <w:shd w:fill="FFFFFF" w:val="clear"/>
      <w:vertAlign w:val="baseline"/>
    </w:rPr>
  </w:style>
  <w:style w:styleId="style36" w:type="paragraph">
    <w:name w:val="Título"/>
    <w:basedOn w:val="style0"/>
    <w:next w:val="style3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37" w:type="paragraph">
    <w:name w:val="Corpo de texto"/>
    <w:basedOn w:val="style0"/>
    <w:next w:val="style37"/>
    <w:pPr>
      <w:spacing w:after="0" w:before="0" w:line="100" w:lineRule="atLeast"/>
      <w:contextualSpacing w:val="false"/>
      <w:jc w:val="both"/>
    </w:pPr>
    <w:rPr>
      <w:rFonts w:ascii="Arial" w:eastAsia="Times New Roman" w:hAnsi="Arial"/>
      <w:sz w:val="28"/>
      <w:szCs w:val="24"/>
      <w:lang w:eastAsia="en-US" w:val="en-US"/>
    </w:rPr>
  </w:style>
  <w:style w:styleId="style38" w:type="paragraph">
    <w:name w:val="Lista"/>
    <w:basedOn w:val="style37"/>
    <w:next w:val="style38"/>
    <w:pPr/>
    <w:rPr>
      <w:rFonts w:cs="Mangal"/>
    </w:rPr>
  </w:style>
  <w:style w:styleId="style39" w:type="paragraph">
    <w:name w:val="Legenda"/>
    <w:basedOn w:val="style0"/>
    <w:next w:val="style3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0" w:type="paragraph">
    <w:name w:val="Índice"/>
    <w:basedOn w:val="style0"/>
    <w:next w:val="style40"/>
    <w:pPr>
      <w:suppressLineNumbers/>
    </w:pPr>
    <w:rPr>
      <w:rFonts w:cs="Mangal"/>
    </w:rPr>
  </w:style>
  <w:style w:styleId="style41" w:type="paragraph">
    <w:name w:val="Cabeçalho"/>
    <w:basedOn w:val="style0"/>
    <w:next w:val="style41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2" w:type="paragraph">
    <w:name w:val="Rodapé"/>
    <w:basedOn w:val="style0"/>
    <w:next w:val="style42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3" w:type="paragraph">
    <w:name w:val="Balloon Text"/>
    <w:basedOn w:val="style0"/>
    <w:next w:val="style43"/>
    <w:pPr>
      <w:spacing w:after="0" w:before="0" w:line="100" w:lineRule="atLeast"/>
      <w:contextualSpacing w:val="false"/>
    </w:pPr>
    <w:rPr>
      <w:rFonts w:ascii="Segoe UI" w:hAnsi="Segoe UI"/>
      <w:sz w:val="18"/>
      <w:szCs w:val="18"/>
      <w:lang w:val="en-US"/>
    </w:rPr>
  </w:style>
  <w:style w:styleId="style44" w:type="paragraph">
    <w:name w:val="List Paragraph"/>
    <w:basedOn w:val="style0"/>
    <w:next w:val="style44"/>
    <w:pPr>
      <w:spacing w:after="200" w:before="0"/>
      <w:ind w:hanging="0" w:left="720" w:right="0"/>
      <w:contextualSpacing/>
    </w:pPr>
    <w:rPr/>
  </w:style>
  <w:style w:styleId="style45" w:type="paragraph">
    <w:name w:val="Normal (Web)"/>
    <w:basedOn w:val="style0"/>
    <w:next w:val="style45"/>
    <w:pPr>
      <w:spacing w:after="28" w:before="28" w:line="100" w:lineRule="atLeast"/>
      <w:contextualSpacing w:val="false"/>
    </w:pPr>
    <w:rPr>
      <w:rFonts w:ascii="Times New Roman" w:eastAsia="Times New Roman" w:hAnsi="Times New Roman"/>
      <w:sz w:val="24"/>
      <w:szCs w:val="24"/>
      <w:lang w:eastAsia="pt-BR"/>
    </w:rPr>
  </w:style>
  <w:style w:styleId="style46" w:type="paragraph">
    <w:name w:val="western"/>
    <w:basedOn w:val="style0"/>
    <w:next w:val="style46"/>
    <w:pPr>
      <w:spacing w:after="119" w:before="28" w:line="100" w:lineRule="atLeast"/>
      <w:contextualSpacing w:val="false"/>
    </w:pPr>
    <w:rPr>
      <w:rFonts w:ascii="Times New Roman" w:eastAsia="Times New Roman" w:hAnsi="Times New Roman"/>
      <w:color w:val="000000"/>
      <w:sz w:val="20"/>
      <w:szCs w:val="20"/>
      <w:lang w:eastAsia="pt-BR"/>
    </w:rPr>
  </w:style>
  <w:style w:styleId="style47" w:type="paragraph">
    <w:name w:val="caption"/>
    <w:basedOn w:val="style0"/>
    <w:next w:val="style47"/>
    <w:pPr>
      <w:spacing w:after="0" w:before="0" w:line="100" w:lineRule="atLeast"/>
      <w:contextualSpacing w:val="false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styleId="style48" w:type="paragraph">
    <w:name w:val="Legenda1"/>
    <w:basedOn w:val="style0"/>
    <w:next w:val="style48"/>
    <w:pPr>
      <w:suppressAutoHyphens w:val="true"/>
      <w:spacing w:after="0" w:before="0" w:line="100" w:lineRule="atLeast"/>
      <w:contextualSpacing w:val="false"/>
      <w:jc w:val="center"/>
    </w:pPr>
    <w:rPr>
      <w:rFonts w:ascii="Times New Roman" w:eastAsia="Times New Roman" w:hAnsi="Times New Roman"/>
      <w:b/>
      <w:sz w:val="28"/>
      <w:szCs w:val="24"/>
      <w:lang w:eastAsia="zh-C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2019-06-12T23:41:00.00Z</dcterms:created>
  <dc:creator>LMDLJ</dc:creator>
  <cp:lastModifiedBy>FMS</cp:lastModifiedBy>
  <cp:lastPrinted>2020-02-28T13:07:21.77Z</cp:lastPrinted>
  <dcterms:modified xsi:type="dcterms:W3CDTF">2019-08-15T13:59:00.00Z</dcterms:modified>
  <cp:revision>10</cp:revision>
</cp:coreProperties>
</file>