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right"/>
      </w:pPr>
      <w:r>
        <w:rPr/>
        <w:drawing>
          <wp:anchor allowOverlap="1" behindDoc="0" distB="0" distL="0" distR="0" distT="0" layoutInCell="1" locked="0" relativeHeight="0" simplePos="0">
            <wp:simplePos x="0" y="0"/>
            <wp:positionH relativeFrom="character">
              <wp:posOffset>5060315</wp:posOffset>
            </wp:positionH>
            <wp:positionV relativeFrom="line">
              <wp:posOffset>-1905</wp:posOffset>
            </wp:positionV>
            <wp:extent cx="1419225" cy="134620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19225" cy="1346200"/>
                    </a:xfrm>
                    <a:prstGeom prst="rect">
                      <a:avLst/>
                    </a:prstGeom>
                    <a:noFill/>
                    <a:ln w="9525">
                      <a:noFill/>
                      <a:miter lim="800000"/>
                      <a:headEnd/>
                      <a:tailEnd/>
                    </a:ln>
                  </pic:spPr>
                </pic:pic>
              </a:graphicData>
            </a:graphic>
          </wp:anchor>
        </w:drawing>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right"/>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pBdr>
          <w:top w:color="00000A" w:space="0" w:sz="2" w:val="single"/>
        </w:pBdr>
        <w:spacing w:after="0" w:before="0"/>
        <w:contextualSpacing w:val="false"/>
        <w:jc w:val="center"/>
      </w:pPr>
      <w:r>
        <w:rPr>
          <w:rFonts w:ascii="HelveticaNeueLT Std Thin Cn" w:cs="Arial" w:hAnsi="HelveticaNeueLT Std Thin Cn"/>
          <w:bCs/>
          <w:sz w:val="38"/>
          <w:szCs w:val="32"/>
        </w:rPr>
        <w:t>SECRETARIA MUNICIPAL DE FAZENDA</w:t>
      </w:r>
    </w:p>
    <w:p>
      <w:pPr>
        <w:pStyle w:val="style0"/>
        <w:spacing w:after="0" w:before="0"/>
        <w:contextualSpacing w:val="false"/>
        <w:jc w:val="center"/>
      </w:pPr>
      <w:r>
        <w:rPr>
          <w:rFonts w:ascii="Univers LT Std 59 UltraCn" w:cs="Arial" w:hAnsi="Univers LT Std 59 UltraCn"/>
          <w:b/>
          <w:bCs/>
          <w:sz w:val="54"/>
          <w:szCs w:val="32"/>
        </w:rPr>
        <w:t>SEMFA</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tabs>
          <w:tab w:leader="none" w:pos="708" w:val="left"/>
          <w:tab w:leader="none" w:pos="7560" w:val="left"/>
        </w:tabs>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Fonts w:ascii="Univers LT Std 47 Cn Lt" w:cs="Arial" w:hAnsi="Univers LT Std 47 Cn Lt"/>
          <w:bCs/>
          <w:sz w:val="78"/>
          <w:szCs w:val="72"/>
        </w:rPr>
        <w:t>ANEXO V - TERMO DE REFERÊNCIA</w:t>
      </w:r>
    </w:p>
    <w:p>
      <w:pPr>
        <w:pStyle w:val="style0"/>
        <w:spacing w:after="0" w:before="0"/>
        <w:contextualSpacing w:val="false"/>
        <w:jc w:val="center"/>
      </w:pPr>
      <w:r>
        <w:rPr/>
      </w:r>
    </w:p>
    <w:p>
      <w:pPr>
        <w:pStyle w:val="style0"/>
        <w:suppressAutoHyphens w:val="false"/>
        <w:spacing w:after="0" w:before="0" w:line="100" w:lineRule="atLeast"/>
        <w:contextualSpacing w:val="false"/>
      </w:pPr>
      <w:r>
        <w:rPr/>
      </w:r>
    </w:p>
    <w:p>
      <w:pPr>
        <w:sectPr>
          <w:footerReference r:id="rId3" w:type="default"/>
          <w:type w:val="nextPage"/>
          <w:pgSz w:h="16838" w:w="11906"/>
          <w:pgMar w:bottom="992" w:footer="227" w:gutter="0" w:header="0" w:left="1701" w:right="1134" w:top="1276"/>
          <w:pgNumType w:fmt="decimal"/>
          <w:formProt w:val="false"/>
          <w:textDirection w:val="lrTb"/>
          <w:docGrid w:charSpace="4096" w:linePitch="360" w:type="default"/>
        </w:sectPr>
      </w:pPr>
    </w:p>
    <w:p>
      <w:pPr>
        <w:pStyle w:val="style50"/>
      </w:pPr>
      <w:r>
        <w:fldChar w:fldCharType="begin"/>
      </w:r>
      <w:r>
        <w:instrText> TOC </w:instrText>
      </w:r>
      <w:r>
        <w:fldChar w:fldCharType="separate"/>
      </w:r>
      <w:r>
        <w:rPr/>
      </w:r>
      <w:r>
        <w:fldChar w:fldCharType="end"/>
      </w:r>
    </w:p>
    <w:p>
      <w:pPr>
        <w:sectPr>
          <w:type w:val="continuous"/>
          <w:pgSz w:h="16838" w:w="11906"/>
          <w:pgMar w:bottom="992" w:footer="227" w:gutter="0" w:header="0" w:left="1701" w:right="1134" w:top="1276"/>
          <w:formProt/>
          <w:textDirection w:val="lrTb"/>
          <w:docGrid w:charSpace="4096" w:linePitch="360" w:type="default"/>
        </w:sectPr>
      </w:pPr>
    </w:p>
    <w:p>
      <w:pPr>
        <w:pStyle w:val="style50"/>
        <w:pageBreakBefore/>
      </w:pPr>
      <w:r>
        <w:rPr/>
      </w:r>
    </w:p>
    <w:p>
      <w:pPr>
        <w:pStyle w:val="style0"/>
        <w:pageBreakBefore/>
        <w:spacing w:after="0" w:before="0"/>
        <w:contextualSpacing w:val="false"/>
        <w:jc w:val="center"/>
      </w:pPr>
      <w:hyperlink w:anchor="_Toc29558902">
        <w:r>
          <w:rPr/>
        </w:r>
      </w:hyperlink>
    </w:p>
    <w:p>
      <w:pPr>
        <w:pStyle w:val="style57"/>
        <w:pageBreakBefore/>
        <w:numPr>
          <w:ilvl w:val="0"/>
          <w:numId w:val="3"/>
        </w:numPr>
        <w:pBdr>
          <w:bottom w:color="00000A" w:space="0" w:sz="2" w:val="single"/>
        </w:pBdr>
        <w:spacing w:after="240" w:before="240" w:line="360" w:lineRule="auto"/>
        <w:contextualSpacing w:val="false"/>
        <w:jc w:val="both"/>
      </w:pPr>
      <w:bookmarkStart w:id="0" w:name="_Toc29558902"/>
      <w:bookmarkEnd w:id="0"/>
      <w:r>
        <w:rPr>
          <w:rFonts w:ascii="Arial Narrow" w:cs="Arial" w:hAnsi="Arial Narrow"/>
          <w:b/>
          <w:sz w:val="24"/>
          <w:szCs w:val="24"/>
        </w:rPr>
        <w:t>DA CONTEXTUALIZAÇÃO E DA JUSTIFICATIVA</w:t>
      </w:r>
    </w:p>
    <w:p>
      <w:pPr>
        <w:pStyle w:val="style64"/>
        <w:numPr>
          <w:ilvl w:val="1"/>
          <w:numId w:val="2"/>
        </w:numPr>
        <w:tabs>
          <w:tab w:leader="none" w:pos="708" w:val="left"/>
        </w:tabs>
        <w:spacing w:after="240" w:before="240"/>
        <w:ind w:hanging="360" w:left="0" w:right="0"/>
        <w:contextualSpacing w:val="false"/>
        <w:jc w:val="both"/>
      </w:pPr>
      <w:r>
        <w:rPr>
          <w:rFonts w:ascii="Calibri" w:cs="Calibri" w:hAnsi="Calibri"/>
          <w:sz w:val="24"/>
          <w:szCs w:val="24"/>
        </w:rPr>
        <w:t>Disponibilizar meios de facilitação para pagamento aos contribuintes é uma premissa que prestigia à eficiência e eficácia administrativa.</w:t>
      </w:r>
    </w:p>
    <w:p>
      <w:pPr>
        <w:pStyle w:val="style64"/>
        <w:numPr>
          <w:ilvl w:val="1"/>
          <w:numId w:val="2"/>
        </w:numPr>
        <w:tabs>
          <w:tab w:leader="none" w:pos="708" w:val="left"/>
        </w:tabs>
        <w:spacing w:after="240" w:before="240"/>
        <w:ind w:hanging="360" w:left="0" w:right="0"/>
        <w:contextualSpacing w:val="false"/>
        <w:jc w:val="both"/>
      </w:pPr>
      <w:r>
        <w:rPr>
          <w:rFonts w:ascii="Calibri" w:cs="Calibri" w:hAnsi="Calibri"/>
          <w:sz w:val="24"/>
          <w:szCs w:val="24"/>
        </w:rPr>
        <w:t>Considerando que o parcelamento de verbas tributárias e não-tributárias tem significativo índice de inadimplência ao longo do pagamento e que a utilização de meios de pagamento onde o erário receba o valor em única parcela aumentará sobremaneira o sucesso da execução financeira das receitas orçamentárias previstas</w:t>
      </w:r>
    </w:p>
    <w:p>
      <w:pPr>
        <w:pStyle w:val="style64"/>
        <w:numPr>
          <w:ilvl w:val="1"/>
          <w:numId w:val="2"/>
        </w:numPr>
        <w:tabs>
          <w:tab w:leader="none" w:pos="708" w:val="left"/>
        </w:tabs>
        <w:spacing w:after="240" w:before="240"/>
        <w:ind w:hanging="360" w:left="0" w:right="0"/>
        <w:contextualSpacing w:val="false"/>
        <w:jc w:val="both"/>
      </w:pPr>
      <w:r>
        <w:rPr>
          <w:rFonts w:ascii="Calibri" w:cs="Calibri" w:hAnsi="Calibri"/>
          <w:sz w:val="24"/>
          <w:szCs w:val="24"/>
        </w:rPr>
        <w:t>Como preceitua o art. 574-A do CTMI – Código Tributário Municipal de Itaboraí, há a possibilidade de pagamento de créditos tributários e não tributários mediante uso de cartões de crédito ou débito;</w:t>
      </w:r>
    </w:p>
    <w:p>
      <w:pPr>
        <w:pStyle w:val="style64"/>
        <w:numPr>
          <w:ilvl w:val="1"/>
          <w:numId w:val="2"/>
        </w:numPr>
        <w:tabs>
          <w:tab w:leader="none" w:pos="708" w:val="left"/>
        </w:tabs>
        <w:spacing w:after="240" w:before="240"/>
        <w:ind w:hanging="360" w:left="0" w:right="0"/>
        <w:contextualSpacing w:val="false"/>
        <w:jc w:val="both"/>
      </w:pPr>
      <w:r>
        <w:rPr>
          <w:rFonts w:ascii="Calibri" w:cs="Calibri" w:hAnsi="Calibri"/>
          <w:sz w:val="24"/>
          <w:szCs w:val="24"/>
        </w:rPr>
        <w:t>Dentro desse contexto, inegável que permitir o pagamento de tributos através de meios eletrônicos, notadamente cartões de crédito e de débito, gerará maior facilidade ao contribuinte aliada à garantia de recebimento da verba, independentemente do seu parcelamento.</w:t>
      </w:r>
    </w:p>
    <w:p>
      <w:pPr>
        <w:pStyle w:val="style64"/>
        <w:numPr>
          <w:ilvl w:val="1"/>
          <w:numId w:val="2"/>
        </w:numPr>
        <w:tabs>
          <w:tab w:leader="none" w:pos="708" w:val="left"/>
        </w:tabs>
        <w:spacing w:after="240" w:before="240"/>
        <w:ind w:hanging="360" w:left="0" w:right="0"/>
        <w:contextualSpacing w:val="false"/>
        <w:jc w:val="both"/>
      </w:pPr>
      <w:r>
        <w:rPr>
          <w:rFonts w:ascii="Calibri" w:cs="Calibri" w:hAnsi="Calibri"/>
          <w:sz w:val="24"/>
          <w:szCs w:val="24"/>
        </w:rPr>
        <w:t>Forte nesses argumentos, o presente Administrativo é para proceder ao chamamento público de instituições interessadas no fornecimento de soluções que permitam o recebimento de verbas tributárias e não-tributárias mediante uso de cartões de crédito e débito, sem ônus para o Município.</w:t>
      </w:r>
    </w:p>
    <w:p>
      <w:pPr>
        <w:pStyle w:val="style64"/>
        <w:spacing w:after="240" w:before="240" w:line="360" w:lineRule="auto"/>
        <w:ind w:hanging="0" w:left="851" w:right="0"/>
        <w:contextualSpacing w:val="false"/>
        <w:jc w:val="both"/>
      </w:pPr>
      <w:r>
        <w:rPr/>
      </w:r>
    </w:p>
    <w:p>
      <w:pPr>
        <w:pStyle w:val="style57"/>
        <w:numPr>
          <w:ilvl w:val="0"/>
          <w:numId w:val="3"/>
        </w:numPr>
        <w:pBdr>
          <w:bottom w:color="00000A" w:space="0" w:sz="2" w:val="single"/>
        </w:pBdr>
        <w:spacing w:after="240" w:before="240" w:line="360" w:lineRule="auto"/>
        <w:contextualSpacing w:val="false"/>
        <w:jc w:val="both"/>
      </w:pPr>
      <w:bookmarkStart w:id="1" w:name="_Toc29558903"/>
      <w:bookmarkEnd w:id="1"/>
      <w:r>
        <w:rPr>
          <w:rFonts w:ascii="Arial Narrow" w:cs="Arial" w:hAnsi="Arial Narrow"/>
          <w:b/>
          <w:sz w:val="24"/>
          <w:szCs w:val="24"/>
        </w:rPr>
        <w:t>DO OBJETO</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Microsoft YaHei" w:hAnsi="Calibri"/>
          <w:color w:val="000000"/>
          <w:sz w:val="24"/>
          <w:szCs w:val="24"/>
          <w:lang w:eastAsia="pt-BR"/>
        </w:rPr>
        <w:t xml:space="preserve">Chamamento Público para credenciamento de adquirentes, subadquirentes ou facilitadoras para </w:t>
      </w:r>
      <w:r>
        <w:rPr>
          <w:rFonts w:ascii="Calibri" w:cs="Calibri" w:eastAsia="Microsoft YaHei" w:hAnsi="Calibri"/>
          <w:b/>
          <w:color w:val="000000"/>
          <w:sz w:val="24"/>
          <w:szCs w:val="24"/>
          <w:lang w:eastAsia="pt-BR"/>
        </w:rPr>
        <w:t>cessão de uso de software e equipamentos processadores de meios de pagamentos eletrônicos</w:t>
      </w:r>
      <w:r>
        <w:rPr>
          <w:rFonts w:ascii="Calibri" w:cs="Calibri" w:eastAsia="Microsoft YaHei" w:hAnsi="Calibri"/>
          <w:color w:val="000000"/>
          <w:sz w:val="24"/>
          <w:szCs w:val="24"/>
          <w:lang w:eastAsia="pt-BR"/>
        </w:rPr>
        <w:t xml:space="preserve"> de </w:t>
      </w:r>
      <w:r>
        <w:rPr>
          <w:rFonts w:ascii="Calibri" w:cs="Calibri" w:hAnsi="Calibri"/>
          <w:sz w:val="24"/>
          <w:szCs w:val="24"/>
        </w:rPr>
        <w:t>créditos</w:t>
      </w:r>
      <w:r>
        <w:rPr>
          <w:rFonts w:ascii="Calibri" w:cs="Calibri" w:eastAsia="Microsoft YaHei" w:hAnsi="Calibri"/>
          <w:color w:val="000000"/>
          <w:sz w:val="24"/>
          <w:szCs w:val="24"/>
          <w:lang w:eastAsia="pt-BR"/>
        </w:rPr>
        <w:t xml:space="preserve"> tributários e não-tributários do Município de Itaboraí.</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Microsoft YaHei" w:hAnsi="Calibri"/>
          <w:color w:val="000000"/>
          <w:sz w:val="24"/>
          <w:szCs w:val="24"/>
          <w:lang w:eastAsia="pt-BR"/>
        </w:rPr>
        <w:t>A execução do objeto se dará por meio de transações via rede mundial de computadores cuja operacionalização se dá pela geração de links individuais e massificados para inserção dos dados pelo usuário do cartão de crédito, e, presencialmente, por meio de terminais de autoatendimento (ATM) destinados exclusivamente para esta finalidade e que possibilita a realização desses parcelamentos e pagamentos.</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Microsoft YaHei" w:hAnsi="Calibri"/>
          <w:color w:val="000000"/>
          <w:sz w:val="24"/>
          <w:szCs w:val="24"/>
          <w:lang w:eastAsia="pt-BR"/>
        </w:rPr>
        <w:t xml:space="preserve">Poderão se credenciar, sem ônus para o Município de Itaboraí, empresas credenciadoras (adquirentes), subcredenciadoras (subadquirentes) ou facilitadoras para processar as operações e os respectivos pagamentos, autorizadas por instituições supervisionadas pelo Banco Central do Brasil, conforme as seguintes definições para fins deste Chamamento: </w:t>
      </w:r>
    </w:p>
    <w:p>
      <w:pPr>
        <w:pStyle w:val="style57"/>
        <w:numPr>
          <w:ilvl w:val="2"/>
          <w:numId w:val="3"/>
        </w:numPr>
        <w:spacing w:after="240" w:before="240"/>
        <w:ind w:hanging="0" w:left="720" w:right="-1"/>
        <w:contextualSpacing w:val="false"/>
        <w:jc w:val="both"/>
      </w:pPr>
      <w:r>
        <w:rPr>
          <w:rFonts w:ascii="Calibri" w:cs="Calibri" w:eastAsia="Microsoft YaHei" w:hAnsi="Calibri"/>
          <w:color w:val="000000"/>
          <w:sz w:val="24"/>
          <w:szCs w:val="24"/>
          <w:lang w:eastAsia="pt-BR"/>
        </w:rPr>
        <w:t xml:space="preserve">Adquirente: Instituição responsável pela relação entre estabelecimentos comerciais e as bandeiras e emissores de cartões, autorizada pelo BACEN para rotear transações financeiras de débito e crédito; </w:t>
      </w:r>
    </w:p>
    <w:p>
      <w:pPr>
        <w:pStyle w:val="style57"/>
        <w:numPr>
          <w:ilvl w:val="2"/>
          <w:numId w:val="3"/>
        </w:numPr>
        <w:spacing w:after="240" w:before="240"/>
        <w:ind w:hanging="0" w:left="720" w:right="-1"/>
        <w:contextualSpacing w:val="false"/>
        <w:jc w:val="both"/>
      </w:pPr>
      <w:r>
        <w:rPr>
          <w:rFonts w:ascii="Calibri" w:cs="Calibri" w:eastAsia="Microsoft YaHei" w:hAnsi="Calibri"/>
          <w:color w:val="000000"/>
          <w:sz w:val="24"/>
          <w:szCs w:val="24"/>
          <w:lang w:eastAsia="pt-BR"/>
        </w:rPr>
        <w:t xml:space="preserve">Subadquirentes: o responsável pela relação entre alguns estabelecimentos comerciais e as adquirentes, credenciadas pelas adquirentes para fazer captura de transações financeiras de débito e crédito; </w:t>
      </w:r>
    </w:p>
    <w:p>
      <w:pPr>
        <w:pStyle w:val="style57"/>
        <w:numPr>
          <w:ilvl w:val="2"/>
          <w:numId w:val="3"/>
        </w:numPr>
        <w:spacing w:after="240" w:before="240"/>
        <w:ind w:hanging="0" w:left="720" w:right="-1"/>
        <w:contextualSpacing w:val="false"/>
        <w:jc w:val="both"/>
      </w:pPr>
      <w:r>
        <w:rPr>
          <w:rFonts w:ascii="Calibri" w:cs="Calibri" w:eastAsia="Microsoft YaHei" w:hAnsi="Calibri"/>
          <w:color w:val="000000"/>
          <w:sz w:val="24"/>
          <w:szCs w:val="24"/>
          <w:lang w:eastAsia="pt-BR"/>
        </w:rPr>
        <w:t>Facilitadora de Pagamentos: é a instituição que de algum modo intermedia o pagamento para outros, processando o pagamento on-line, controlando as operações com cartão de crédito.</w:t>
      </w:r>
    </w:p>
    <w:p>
      <w:pPr>
        <w:pStyle w:val="style57"/>
        <w:spacing w:after="240" w:before="240"/>
        <w:ind w:hanging="0" w:left="0" w:right="0"/>
        <w:contextualSpacing w:val="false"/>
        <w:jc w:val="both"/>
      </w:pPr>
      <w:r>
        <w:rPr/>
      </w:r>
    </w:p>
    <w:p>
      <w:pPr>
        <w:pStyle w:val="style57"/>
        <w:keepNext/>
        <w:numPr>
          <w:ilvl w:val="0"/>
          <w:numId w:val="3"/>
        </w:numPr>
        <w:pBdr>
          <w:bottom w:color="00000A" w:space="0" w:sz="2" w:val="single"/>
        </w:pBdr>
        <w:spacing w:after="240" w:before="240" w:line="360" w:lineRule="auto"/>
        <w:ind w:hanging="851" w:left="851" w:right="0"/>
        <w:contextualSpacing w:val="false"/>
        <w:jc w:val="both"/>
      </w:pPr>
      <w:bookmarkStart w:id="2" w:name="_Toc29558904"/>
      <w:bookmarkEnd w:id="2"/>
      <w:r>
        <w:rPr>
          <w:rFonts w:ascii="Arial Narrow" w:cs="Arial" w:hAnsi="Arial Narrow"/>
          <w:b/>
          <w:sz w:val="24"/>
          <w:szCs w:val="24"/>
        </w:rPr>
        <w:t>OBRIGAÇÕES DA CONTRATADA</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Fornecer ao Município, os equipamentos do tipo POS, POS-GPRS, POO, PINPAD, ATM e outros canais de acesso, inclusive remotos, como a rede mundial de computadores, transações via web, utilizando meios eletrônicos de geração de links individuais e massificados para inserção dos dados pelo usuário do cartão de crédito, bem como efetuar reparos, manutenção e assistência técnica nos equipamentos e softwares e prestar os esclarecimentos necessários ao correto funcionamento destes, sem quaisquer ônus/custos à municipalidade.</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Ser titular de solução de meios de pagamentos e gestão nas modalidades de adquirentes, subadquirentes ou facilitadoras de meios de pagamento, em parceria ou diretamente, com instituições financeiras homologadas pelo Banco Central do Brasil, ou na modalidade direta de credenciadora.</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Facilitar o pagamento em parcelas ao contribuinte, sendo facultada a cobrança de juros e taxas de mercado, nunca superior à média praticada informada pelo Banco Central do Brasil para crédito parcelado em cartão de crédito para pessoa física.</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 xml:space="preserve">A ferramenta sistêmica para o atendimento ao interesse público deverá facilitar a quitação de débitos de qualquer natureza, porém mantendo o recolhimento e o </w:t>
      </w:r>
      <w:r>
        <w:rPr>
          <w:rFonts w:ascii="Calibri" w:cs="Calibri" w:eastAsia="Microsoft YaHei" w:hAnsi="Calibri"/>
          <w:b/>
          <w:color w:val="000000"/>
          <w:sz w:val="24"/>
          <w:szCs w:val="24"/>
          <w:lang w:eastAsia="pt-BR"/>
        </w:rPr>
        <w:t>repasse à Municipalidade na forma habitual, ou seja: integralmente à vista e sem qualquer ônus adicional ou decréscimo no valor original constante no Documento de Arrecadação Municipal ou equivalente</w:t>
      </w:r>
      <w:r>
        <w:rPr>
          <w:rFonts w:ascii="Calibri" w:cs="Calibri" w:eastAsia="Microsoft YaHei" w:hAnsi="Calibri"/>
          <w:color w:val="000000"/>
          <w:sz w:val="24"/>
          <w:szCs w:val="24"/>
          <w:lang w:eastAsia="pt-BR"/>
        </w:rPr>
        <w:t>.</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Demonstração para o contribuinte dos custos financeiros eventualmente incidentes sobre o pagamento e opção de parcelamento.</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 xml:space="preserve">Disponibilizar para o Município, </w:t>
      </w:r>
      <w:r>
        <w:rPr>
          <w:rFonts w:ascii="Calibri" w:cs="Calibri" w:eastAsia="Microsoft YaHei" w:hAnsi="Calibri"/>
          <w:i/>
          <w:iCs/>
          <w:color w:val="000000"/>
          <w:sz w:val="24"/>
          <w:szCs w:val="24"/>
          <w:lang w:eastAsia="pt-BR"/>
        </w:rPr>
        <w:t>online</w:t>
      </w:r>
      <w:r>
        <w:rPr>
          <w:rFonts w:ascii="Calibri" w:cs="Calibri" w:eastAsia="Microsoft YaHei" w:hAnsi="Calibri"/>
          <w:color w:val="000000"/>
          <w:sz w:val="24"/>
          <w:szCs w:val="24"/>
          <w:lang w:eastAsia="pt-BR"/>
        </w:rPr>
        <w:t xml:space="preserve"> e em tempo real, relação de pagamentos realizados mediante meios eletrônicos objeto deste Termo, </w:t>
      </w:r>
      <w:r>
        <w:rPr>
          <w:rFonts w:ascii="Calibri" w:cs="Calibri" w:eastAsia="Microsoft YaHei" w:hAnsi="Calibri"/>
          <w:b/>
          <w:color w:val="000000"/>
          <w:sz w:val="24"/>
          <w:szCs w:val="24"/>
          <w:lang w:eastAsia="pt-BR"/>
        </w:rPr>
        <w:t>sem custo</w:t>
      </w:r>
      <w:r>
        <w:rPr>
          <w:rFonts w:ascii="Calibri" w:cs="Calibri" w:eastAsia="Microsoft YaHei" w:hAnsi="Calibri"/>
          <w:color w:val="000000"/>
          <w:sz w:val="24"/>
          <w:szCs w:val="24"/>
          <w:lang w:eastAsia="pt-BR"/>
        </w:rPr>
        <w:t>.</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A credenciada deverá apresentar relatório mensal, por meio físico, podendo ser na forma eletrônica, para conferência das transações efetuadas nos períodos diário e mensal, separadas entre crédito e débito, para apuração e conciliação do valor a ser recebido.</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 xml:space="preserve">Manutenção dos sistemas e equipamentos em perfeito estado de funcionamento durante o período do contrato, devendo ser substituído e/ou regularizada a situação de inoperância, no prazo máximo de 24 (vinte e quatro) horas, a partir da notificação pelo município, </w:t>
      </w:r>
      <w:r>
        <w:rPr>
          <w:rFonts w:ascii="Calibri" w:cs="Calibri" w:eastAsia="Microsoft YaHei" w:hAnsi="Calibri"/>
          <w:b/>
          <w:color w:val="000000"/>
          <w:sz w:val="24"/>
          <w:szCs w:val="24"/>
          <w:lang w:eastAsia="pt-BR"/>
        </w:rPr>
        <w:t>sem custos para o Município</w:t>
      </w:r>
      <w:r>
        <w:rPr>
          <w:rFonts w:ascii="Calibri" w:cs="Calibri" w:eastAsia="Microsoft YaHei" w:hAnsi="Calibri"/>
          <w:color w:val="000000"/>
          <w:sz w:val="24"/>
          <w:szCs w:val="24"/>
          <w:lang w:eastAsia="pt-BR"/>
        </w:rPr>
        <w:t>.</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Notificar, por escrito, sobre imperfeições, falhas ou irregularidades verificadas na execução das atividades decorrentes da prestação dos serviços.</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A Credenciada fica impedida de modificar a natureza do serviço proposto, salvo expressa autorização da Município mediante Termo Aditivo.</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Observar e manter sigilo e segurança sobre as informações recebidas e processadas, preservando a inviolabilidade da intimidade, da vida privada, da honra e da imagem das pessoas, assim como de quaisquer outros dados cuja publicidade seja restringida pela legislação vigente.</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Responder consultas e atender convocações por parte do Município, a respeito das matérias que envolvam a Credenciada ou suas atividades objeto do credenciamento.</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Responsabilizar-se por todos os encargos trabalhistas, previdenciários, fiscais, comerciais e tributários resultantes da execução dos serviços decorrentes do credenciamento.</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Comunicar o Município, por escrito, quando verificar condições inadequadas ou a iminência de fatos que possam prejudicar a perfeita prestação da atividade credenciada.</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Executar de forma regular e adequada, e ininterruptamente, a atividade credenciada.</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Em atendimento ao princípio da segurança jurídica das relações, a credenciada deverá admitir somente Cartões de Créditos com CHIP e mediante a utilização de senha do respectivo titular.</w:t>
      </w:r>
    </w:p>
    <w:p>
      <w:pPr>
        <w:pStyle w:val="style57"/>
        <w:numPr>
          <w:ilvl w:val="1"/>
          <w:numId w:val="3"/>
        </w:numPr>
        <w:tabs>
          <w:tab w:leader="none" w:pos="708" w:val="left"/>
        </w:tabs>
        <w:spacing w:after="240" w:before="240"/>
        <w:ind w:hanging="360" w:left="0" w:right="-1"/>
        <w:contextualSpacing w:val="false"/>
        <w:jc w:val="both"/>
      </w:pPr>
      <w:r>
        <w:rPr>
          <w:rFonts w:ascii="Calibri" w:cs="Calibri" w:eastAsia="Microsoft YaHei" w:hAnsi="Calibri"/>
          <w:color w:val="000000"/>
          <w:sz w:val="24"/>
          <w:szCs w:val="24"/>
          <w:lang w:eastAsia="pt-BR"/>
        </w:rPr>
        <w:t xml:space="preserve">Toda a atividade desempenhada pelas Credenciadas serão </w:t>
      </w:r>
      <w:r>
        <w:rPr>
          <w:rFonts w:ascii="Calibri" w:cs="Calibri" w:eastAsia="Microsoft YaHei" w:hAnsi="Calibri"/>
          <w:b/>
          <w:color w:val="000000"/>
          <w:sz w:val="24"/>
          <w:szCs w:val="24"/>
          <w:lang w:eastAsia="pt-BR"/>
        </w:rPr>
        <w:t>sem quaisquer ônus para o Município</w:t>
      </w:r>
      <w:r>
        <w:rPr>
          <w:rFonts w:ascii="Calibri" w:cs="Calibri" w:eastAsia="Microsoft YaHei" w:hAnsi="Calibri"/>
          <w:color w:val="000000"/>
          <w:sz w:val="24"/>
          <w:szCs w:val="24"/>
          <w:lang w:eastAsia="pt-BR"/>
        </w:rPr>
        <w:t>.</w:t>
      </w:r>
    </w:p>
    <w:p>
      <w:pPr>
        <w:pStyle w:val="style57"/>
        <w:spacing w:after="240" w:before="240"/>
        <w:ind w:hanging="0" w:left="720" w:right="-1"/>
        <w:contextualSpacing w:val="false"/>
        <w:jc w:val="both"/>
      </w:pPr>
      <w:r>
        <w:rPr/>
      </w:r>
    </w:p>
    <w:p>
      <w:pPr>
        <w:pStyle w:val="style57"/>
        <w:numPr>
          <w:ilvl w:val="0"/>
          <w:numId w:val="3"/>
        </w:numPr>
        <w:pBdr>
          <w:bottom w:color="00000A" w:space="0" w:sz="2" w:val="single"/>
        </w:pBdr>
        <w:spacing w:after="240" w:before="240" w:line="360" w:lineRule="auto"/>
        <w:ind w:hanging="0" w:left="720" w:right="-1"/>
        <w:contextualSpacing w:val="false"/>
        <w:jc w:val="both"/>
      </w:pPr>
      <w:bookmarkStart w:id="3" w:name="_Toc29558905"/>
      <w:bookmarkEnd w:id="3"/>
      <w:r>
        <w:rPr>
          <w:rFonts w:ascii="Arial Narrow" w:cs="Arial" w:hAnsi="Arial Narrow"/>
          <w:b/>
          <w:sz w:val="24"/>
          <w:szCs w:val="24"/>
        </w:rPr>
        <w:t>DAS RECEITAS MUNICIPAIS</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Para fins de dimensionamento do mercado às empresas que por ventura pretendem se credenciar, em que pese aos locais para instalação e deslocamento de pessoal no Município para execução dos serviços, além das informações prestadas neste Instrumento Convocatório, informam-se os valores aproximados arrecadados no último exercício de R$ 115.900.000,00, divididos em:</w:t>
      </w:r>
    </w:p>
    <w:p>
      <w:pPr>
        <w:pStyle w:val="style57"/>
        <w:numPr>
          <w:ilvl w:val="2"/>
          <w:numId w:val="3"/>
        </w:numPr>
        <w:spacing w:after="240" w:before="240"/>
        <w:ind w:firstLine="737" w:left="709" w:right="0"/>
        <w:contextualSpacing w:val="false"/>
        <w:jc w:val="both"/>
      </w:pPr>
      <w:r>
        <w:rPr>
          <w:rFonts w:ascii="Calibri" w:cs="Calibri" w:eastAsia="Adobe Fan Heiti Std B" w:hAnsi="Calibri"/>
          <w:color w:val="000000"/>
          <w:sz w:val="24"/>
          <w:szCs w:val="24"/>
        </w:rPr>
        <w:t>IPTU - Imposto Predial e Territorial Urbano: R$ 22.900.000,00;</w:t>
      </w:r>
    </w:p>
    <w:p>
      <w:pPr>
        <w:pStyle w:val="style57"/>
        <w:numPr>
          <w:ilvl w:val="2"/>
          <w:numId w:val="3"/>
        </w:numPr>
        <w:spacing w:after="240" w:before="240"/>
        <w:ind w:firstLine="737" w:left="709" w:right="0"/>
        <w:contextualSpacing w:val="false"/>
        <w:jc w:val="both"/>
      </w:pPr>
      <w:r>
        <w:rPr>
          <w:rFonts w:ascii="Calibri" w:cs="Calibri" w:eastAsia="Adobe Fan Heiti Std B" w:hAnsi="Calibri"/>
          <w:color w:val="000000"/>
          <w:sz w:val="24"/>
          <w:szCs w:val="24"/>
        </w:rPr>
        <w:t>Imposto Sobre Serviços de Qualquer Natureza: R$ 62.000.000,00;</w:t>
      </w:r>
    </w:p>
    <w:p>
      <w:pPr>
        <w:pStyle w:val="style57"/>
        <w:numPr>
          <w:ilvl w:val="2"/>
          <w:numId w:val="3"/>
        </w:numPr>
        <w:spacing w:after="240" w:before="240"/>
        <w:ind w:firstLine="737" w:left="709" w:right="0"/>
        <w:contextualSpacing w:val="false"/>
        <w:jc w:val="both"/>
      </w:pPr>
      <w:r>
        <w:rPr>
          <w:rFonts w:ascii="Calibri" w:cs="Calibri" w:eastAsia="Adobe Fan Heiti Std B" w:hAnsi="Calibri"/>
          <w:color w:val="000000"/>
          <w:sz w:val="24"/>
          <w:szCs w:val="24"/>
        </w:rPr>
        <w:t>Imposto Sobre a Transmissão de Bens Imóveis: R$ 5.000.000,00;</w:t>
      </w:r>
    </w:p>
    <w:p>
      <w:pPr>
        <w:pStyle w:val="style57"/>
        <w:numPr>
          <w:ilvl w:val="2"/>
          <w:numId w:val="3"/>
        </w:numPr>
        <w:spacing w:after="240" w:before="240"/>
        <w:ind w:firstLine="737" w:left="709" w:right="0"/>
        <w:contextualSpacing w:val="false"/>
        <w:jc w:val="both"/>
      </w:pPr>
      <w:r>
        <w:rPr>
          <w:rFonts w:ascii="Calibri" w:cs="Calibri" w:eastAsia="Adobe Fan Heiti Std B" w:hAnsi="Calibri"/>
          <w:color w:val="000000"/>
          <w:sz w:val="24"/>
          <w:szCs w:val="24"/>
        </w:rPr>
        <w:t>Taxas: R$ 12.000.000,00;</w:t>
      </w:r>
    </w:p>
    <w:p>
      <w:pPr>
        <w:pStyle w:val="style57"/>
        <w:numPr>
          <w:ilvl w:val="2"/>
          <w:numId w:val="3"/>
        </w:numPr>
        <w:spacing w:after="240" w:before="240"/>
        <w:ind w:firstLine="737" w:left="709" w:right="0"/>
        <w:contextualSpacing w:val="false"/>
        <w:jc w:val="both"/>
      </w:pPr>
      <w:r>
        <w:rPr>
          <w:rFonts w:ascii="Calibri" w:cs="Calibri" w:eastAsia="Adobe Fan Heiti Std B" w:hAnsi="Calibri"/>
          <w:color w:val="000000"/>
          <w:sz w:val="24"/>
          <w:szCs w:val="24"/>
        </w:rPr>
        <w:t>Dívida Ativa: R$ 14.000.000,00.</w:t>
      </w:r>
    </w:p>
    <w:p>
      <w:pPr>
        <w:pStyle w:val="style57"/>
        <w:spacing w:after="240" w:before="240"/>
        <w:ind w:hanging="0" w:left="720" w:right="-1"/>
        <w:contextualSpacing w:val="false"/>
        <w:jc w:val="both"/>
      </w:pPr>
      <w:r>
        <w:rPr/>
      </w:r>
    </w:p>
    <w:p>
      <w:pPr>
        <w:pStyle w:val="style57"/>
        <w:numPr>
          <w:ilvl w:val="0"/>
          <w:numId w:val="3"/>
        </w:numPr>
        <w:pBdr>
          <w:bottom w:color="00000A" w:space="0" w:sz="2" w:val="single"/>
        </w:pBdr>
        <w:spacing w:after="240" w:before="240" w:line="360" w:lineRule="auto"/>
        <w:ind w:hanging="0" w:left="720" w:right="-1"/>
        <w:contextualSpacing w:val="false"/>
        <w:jc w:val="both"/>
      </w:pPr>
      <w:bookmarkStart w:id="4" w:name="_GoBack"/>
      <w:bookmarkStart w:id="5" w:name="_Toc29558906"/>
      <w:bookmarkEnd w:id="4"/>
      <w:bookmarkEnd w:id="5"/>
      <w:r>
        <w:rPr>
          <w:rFonts w:ascii="Arial Narrow" w:cs="Arial" w:hAnsi="Arial Narrow"/>
          <w:b/>
          <w:sz w:val="24"/>
          <w:szCs w:val="24"/>
        </w:rPr>
        <w:t>DAS CONDIÇÕES DE CREDENCIAMENTO</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O credenciamento de empresa é intransferível e dar-se-á no período de 5 (</w:t>
      </w:r>
      <w:r>
        <w:rPr>
          <w:rFonts w:ascii="Calibri" w:cs="Calibri" w:eastAsia="Adobe Fan Heiti Std B" w:hAnsi="Calibri"/>
          <w:color w:val="000000"/>
          <w:sz w:val="24"/>
          <w:szCs w:val="24"/>
        </w:rPr>
        <w:t>cinco)</w:t>
      </w:r>
      <w:r>
        <w:rPr>
          <w:rFonts w:ascii="Calibri" w:cs="Calibri" w:eastAsia="Adobe Fan Heiti Std B" w:hAnsi="Calibri"/>
          <w:color w:val="000000"/>
          <w:sz w:val="24"/>
          <w:szCs w:val="24"/>
        </w:rPr>
        <w:t xml:space="preserve"> dias a contar da publicação do Edital, das 8h às 16h, na Secretaria de Administração – Setor de Licitação, devendo os interessados apresentarem os documentos necessários.</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O interessado que dentro do período, tiver seus documentos rejeitados somente terá seu pedido reavaliado com a apresentação de novo requerimento e novos documentos já livres dos vícios anteriormente identificados e que foram impeditivos do credenciamento anteriormente pretendido.</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 xml:space="preserve">O interessado, a qualquer tempo, enquanto a municipalidade mantiver o interesse nos serviços objeto do presente credenciamento, poderá formalizar pretensão em se credenciar, desde que atendidas as exigências do Memorial Descritivo e Edital. </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Poderão credenciar-se empresas legalmente constituídas, com sede ou não no Município de Itaboraí/RJ.</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A participação neste credenciamento importa em total e irrestrita submissão das proponentes às condições do edital e às exigências da legislação específica pertinente.</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Não podem concorrer, direta ou indiretamente, nesta licitação, empresas:</w:t>
      </w:r>
    </w:p>
    <w:p>
      <w:pPr>
        <w:pStyle w:val="style57"/>
        <w:numPr>
          <w:ilvl w:val="2"/>
          <w:numId w:val="3"/>
        </w:numPr>
        <w:spacing w:after="240" w:before="240"/>
        <w:ind w:firstLine="737" w:left="720" w:right="-1"/>
        <w:contextualSpacing w:val="false"/>
        <w:jc w:val="both"/>
      </w:pPr>
      <w:r>
        <w:rPr>
          <w:rFonts w:ascii="Calibri" w:cs="Calibri" w:eastAsia="Adobe Fan Heiti Std B" w:hAnsi="Calibri"/>
          <w:color w:val="000000"/>
          <w:sz w:val="24"/>
          <w:szCs w:val="24"/>
        </w:rPr>
        <w:t>em estado de falência, de concurso de credores, de dissolução ou liquidação;</w:t>
      </w:r>
    </w:p>
    <w:p>
      <w:pPr>
        <w:pStyle w:val="style57"/>
        <w:numPr>
          <w:ilvl w:val="2"/>
          <w:numId w:val="3"/>
        </w:numPr>
        <w:spacing w:after="240" w:before="240"/>
        <w:ind w:firstLine="737" w:left="720" w:right="-1"/>
        <w:contextualSpacing w:val="false"/>
        <w:jc w:val="both"/>
      </w:pPr>
      <w:r>
        <w:rPr>
          <w:rFonts w:ascii="Calibri" w:cs="Calibri" w:eastAsia="Adobe Fan Heiti Std B" w:hAnsi="Calibri"/>
          <w:color w:val="000000"/>
          <w:sz w:val="24"/>
          <w:szCs w:val="24"/>
        </w:rPr>
        <w:t>declaradas inidôneas por qualquer órgão da Administração Pública, direta ou indireta, federal, estadual ou municipal, bem como as punidas com suspensão do direito de contratar ou licitar com o Município de Itaboraí/RJ;</w:t>
      </w:r>
    </w:p>
    <w:p>
      <w:pPr>
        <w:pStyle w:val="style57"/>
        <w:numPr>
          <w:ilvl w:val="2"/>
          <w:numId w:val="3"/>
        </w:numPr>
        <w:spacing w:after="240" w:before="240"/>
        <w:ind w:firstLine="737" w:left="720" w:right="-1"/>
        <w:contextualSpacing w:val="false"/>
        <w:jc w:val="both"/>
      </w:pPr>
      <w:r>
        <w:rPr>
          <w:rFonts w:ascii="Calibri" w:cs="Calibri" w:eastAsia="Adobe Fan Heiti Std B" w:hAnsi="Calibri"/>
          <w:color w:val="000000"/>
          <w:sz w:val="24"/>
          <w:szCs w:val="24"/>
        </w:rPr>
        <w:t>reunidas em consórcio e/ou controladoras, coligadas ou subsidiárias entre si;</w:t>
      </w:r>
    </w:p>
    <w:p>
      <w:pPr>
        <w:pStyle w:val="style57"/>
        <w:numPr>
          <w:ilvl w:val="2"/>
          <w:numId w:val="3"/>
        </w:numPr>
        <w:spacing w:after="240" w:before="240"/>
        <w:ind w:firstLine="737" w:left="720" w:right="-1"/>
        <w:contextualSpacing w:val="false"/>
        <w:jc w:val="both"/>
      </w:pPr>
      <w:r>
        <w:rPr>
          <w:rFonts w:ascii="Calibri" w:cs="Calibri" w:eastAsia="Adobe Fan Heiti Std B" w:hAnsi="Calibri"/>
          <w:color w:val="000000"/>
          <w:sz w:val="24"/>
          <w:szCs w:val="24"/>
        </w:rPr>
        <w:t xml:space="preserve">que tenham como sócio, gerente ou responsável técnico servidor/dirigente ou algum parente seu na linha reta ou colateral até o segundo grau, vinculado ao Município de Itaboraí/RJ; </w:t>
      </w:r>
    </w:p>
    <w:p>
      <w:pPr>
        <w:pStyle w:val="style57"/>
        <w:numPr>
          <w:ilvl w:val="2"/>
          <w:numId w:val="3"/>
        </w:numPr>
        <w:spacing w:after="240" w:before="240"/>
        <w:ind w:firstLine="737" w:left="720" w:right="-1"/>
        <w:contextualSpacing w:val="false"/>
        <w:jc w:val="both"/>
      </w:pPr>
      <w:r>
        <w:rPr>
          <w:rFonts w:ascii="Calibri" w:cs="Calibri" w:eastAsia="Adobe Fan Heiti Std B" w:hAnsi="Calibri"/>
          <w:color w:val="000000"/>
          <w:sz w:val="24"/>
          <w:szCs w:val="24"/>
        </w:rPr>
        <w:t>que empregam menores de 18 anos em trabalho noturno, perigoso ou insalubre, bem como menores de 16 anos em qualquer trabalho, salvo na condição de aprendiz, a partir de 14 anos, contrariando o disposto no art. 7º, inciso XXXIII da Constituição Federal.</w:t>
      </w:r>
    </w:p>
    <w:p>
      <w:pPr>
        <w:pStyle w:val="style57"/>
        <w:spacing w:after="240" w:before="240"/>
        <w:contextualSpacing w:val="false"/>
        <w:jc w:val="both"/>
      </w:pPr>
      <w:r>
        <w:rPr/>
      </w:r>
    </w:p>
    <w:p>
      <w:pPr>
        <w:pStyle w:val="style57"/>
        <w:numPr>
          <w:ilvl w:val="0"/>
          <w:numId w:val="3"/>
        </w:numPr>
        <w:pBdr>
          <w:bottom w:color="00000A" w:space="0" w:sz="2" w:val="single"/>
        </w:pBdr>
        <w:spacing w:after="240" w:before="240" w:line="360" w:lineRule="auto"/>
        <w:ind w:hanging="0" w:left="720" w:right="-1"/>
        <w:contextualSpacing w:val="false"/>
        <w:jc w:val="both"/>
      </w:pPr>
      <w:bookmarkStart w:id="6" w:name="_Toc29558907"/>
      <w:bookmarkEnd w:id="6"/>
      <w:r>
        <w:rPr>
          <w:rFonts w:ascii="Arial Narrow" w:cs="Arial" w:hAnsi="Arial Narrow"/>
          <w:b/>
          <w:sz w:val="24"/>
          <w:szCs w:val="24"/>
        </w:rPr>
        <w:t>DA DOCUMENTAÇÃO E ENTREGA DE ENVELOPES</w:t>
      </w:r>
    </w:p>
    <w:p>
      <w:pPr>
        <w:pStyle w:val="style57"/>
        <w:numPr>
          <w:ilvl w:val="1"/>
          <w:numId w:val="3"/>
        </w:numPr>
        <w:tabs>
          <w:tab w:leader="none" w:pos="708" w:val="left"/>
        </w:tabs>
        <w:spacing w:after="240" w:before="240"/>
        <w:ind w:hanging="360" w:left="0" w:right="-1"/>
        <w:contextualSpacing/>
        <w:jc w:val="both"/>
      </w:pPr>
      <w:r>
        <w:rPr>
          <w:rFonts w:ascii="Calibri" w:cs="Calibri" w:eastAsia="Adobe Fan Heiti Std B" w:hAnsi="Calibri"/>
          <w:color w:val="000000"/>
          <w:sz w:val="24"/>
          <w:szCs w:val="24"/>
        </w:rPr>
        <w:t>Os documentos necessários ao credenciamento serão disponibilizados em um envelope, e entregues à Prefeitura Municipal de Itaboraí/RJ, na Secretaria Municipal de Administração – Setor de Licitação da seguinte forma:</w:t>
      </w:r>
    </w:p>
    <w:p>
      <w:pPr>
        <w:pStyle w:val="style57"/>
        <w:spacing w:after="240" w:before="240"/>
        <w:ind w:hanging="0" w:left="851" w:right="-1"/>
        <w:contextualSpacing/>
        <w:jc w:val="both"/>
      </w:pPr>
      <w:r>
        <w:rPr/>
      </w:r>
    </w:p>
    <w:p>
      <w:pPr>
        <w:pStyle w:val="style57"/>
        <w:spacing w:after="240" w:before="240"/>
        <w:ind w:hanging="0" w:left="0" w:right="-1"/>
        <w:contextualSpacing/>
        <w:jc w:val="both"/>
      </w:pPr>
      <w:r>
        <w:rPr>
          <w:rFonts w:ascii="Calibri" w:cs="Calibri" w:eastAsia="Adobe Fan Heiti Std B" w:hAnsi="Calibri"/>
          <w:color w:val="000000"/>
          <w:sz w:val="24"/>
          <w:szCs w:val="24"/>
        </w:rPr>
        <w:t>PREFEITURA MUNICIPAL DE ITABORAÍ/RJ - PMI</w:t>
      </w:r>
    </w:p>
    <w:p>
      <w:pPr>
        <w:pStyle w:val="style57"/>
        <w:spacing w:after="240" w:before="240"/>
        <w:ind w:hanging="0" w:left="0" w:right="-1"/>
        <w:contextualSpacing/>
        <w:jc w:val="both"/>
      </w:pPr>
      <w:r>
        <w:rPr>
          <w:rFonts w:ascii="Calibri" w:cs="Calibri" w:eastAsia="Adobe Fan Heiti Std B" w:hAnsi="Calibri"/>
          <w:color w:val="000000"/>
          <w:sz w:val="24"/>
          <w:szCs w:val="24"/>
        </w:rPr>
        <w:t>RAZÃO SOCIAL/NOME/CNPJ /ENDEREÇO/TELEFONE</w:t>
      </w:r>
    </w:p>
    <w:p>
      <w:pPr>
        <w:pStyle w:val="style57"/>
        <w:tabs>
          <w:tab w:leader="none" w:pos="708" w:val="left"/>
          <w:tab w:leader="none" w:pos="8080" w:val="left"/>
        </w:tabs>
        <w:spacing w:after="240" w:before="240"/>
        <w:ind w:hanging="0" w:left="0" w:right="0"/>
        <w:contextualSpacing/>
        <w:jc w:val="both"/>
      </w:pPr>
      <w:r>
        <w:rPr>
          <w:rFonts w:ascii="Calibri" w:cs="Calibri" w:eastAsia="Adobe Fan Heiti Std B" w:hAnsi="Calibri"/>
          <w:i/>
          <w:color w:val="000000"/>
          <w:sz w:val="24"/>
          <w:szCs w:val="24"/>
        </w:rPr>
        <w:t xml:space="preserve">DOCUMENTOS DE CREDENCIAMENTO PÚBLICO PARA </w:t>
      </w:r>
      <w:r>
        <w:rPr>
          <w:rFonts w:ascii="Calibri" w:cs="Calibri" w:eastAsia="Adobe Fan Heiti Std B" w:hAnsi="Calibri"/>
          <w:i/>
          <w:caps/>
          <w:color w:val="000000"/>
          <w:sz w:val="24"/>
          <w:szCs w:val="24"/>
        </w:rPr>
        <w:t>cessão de uso de software e equipamentos processadores de meios de pagamentos eletrônicos</w:t>
      </w:r>
    </w:p>
    <w:p>
      <w:pPr>
        <w:pStyle w:val="style57"/>
        <w:tabs>
          <w:tab w:leader="none" w:pos="708" w:val="left"/>
          <w:tab w:leader="none" w:pos="8080" w:val="left"/>
        </w:tabs>
        <w:spacing w:after="240" w:before="240"/>
        <w:ind w:hanging="0" w:left="0" w:right="0"/>
        <w:contextualSpacing/>
        <w:jc w:val="both"/>
      </w:pPr>
      <w:r>
        <w:rPr/>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Toda a documentação exigida poderá ser apresentada no original ou por qualquer processo de cópia devidamente autenticada em cartório ou publicada em órgão de imprensa oficial, ou ainda, autenticada por servidor público quando apresentada juntamente com o original.</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Serão aceitas apenas cópias legíveis.</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Não serão aceitos documentos cujas datas estejam rasuradas.</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A Secretaria de Administração reserva-se o direito de solicitar o original de qualquer documento, sempre que tiver dúvida e julgar necessário.</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Se a documentação de habilitação não estiver completa e correta ou contrariar qualquer dispositivo deste Edital, a Secretaria de Administração considerará a empresa não credenciada.</w:t>
      </w:r>
    </w:p>
    <w:p>
      <w:pPr>
        <w:pStyle w:val="style57"/>
        <w:numPr>
          <w:ilvl w:val="1"/>
          <w:numId w:val="3"/>
        </w:numPr>
        <w:tabs>
          <w:tab w:leader="none" w:pos="708" w:val="left"/>
        </w:tabs>
        <w:spacing w:after="240" w:before="240"/>
        <w:ind w:hanging="360" w:left="0" w:right="0"/>
        <w:contextualSpacing w:val="false"/>
        <w:jc w:val="both"/>
      </w:pPr>
      <w:r>
        <w:rPr>
          <w:rFonts w:ascii="Calibri" w:cs="Calibri" w:eastAsia="Adobe Fan Heiti Std B" w:hAnsi="Calibri"/>
          <w:color w:val="000000"/>
          <w:sz w:val="24"/>
          <w:szCs w:val="24"/>
        </w:rPr>
        <w:t>O envelope deverá conter os seguintes documentos:</w:t>
      </w:r>
    </w:p>
    <w:p>
      <w:pPr>
        <w:pStyle w:val="style57"/>
        <w:numPr>
          <w:ilvl w:val="2"/>
          <w:numId w:val="3"/>
        </w:numPr>
        <w:spacing w:after="240" w:before="240"/>
        <w:ind w:firstLine="737" w:left="720" w:right="0"/>
        <w:contextualSpacing w:val="false"/>
        <w:jc w:val="both"/>
      </w:pPr>
      <w:r>
        <w:rPr>
          <w:rFonts w:ascii="Calibri" w:cs="Calibri" w:eastAsia="Adobe Fan Heiti Std B" w:hAnsi="Calibri"/>
          <w:b/>
          <w:color w:val="000000"/>
          <w:sz w:val="24"/>
          <w:szCs w:val="24"/>
        </w:rPr>
        <w:t>RELATIVOS À HABILITAÇÃO JURÍDICA</w:t>
      </w:r>
      <w:r>
        <w:rPr>
          <w:rFonts w:ascii="Calibri" w:cs="Calibri" w:eastAsia="Adobe Fan Heiti Std B" w:hAnsi="Calibri"/>
          <w:color w:val="000000"/>
          <w:sz w:val="24"/>
          <w:szCs w:val="24"/>
        </w:rPr>
        <w:t>:</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 - Registro comercial, no caso de empresa individual;</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II - Ato constitutivo, estatuto social, contrato social ou sua consolidação e posteriores alterações contratuais, devidamente registradas na junta comercial e em vigor e, no caso de sociedade por ações, estatuto social, ata do atual capital social acompanhado da ata de eleição de sua atual administração, registrados e publicados;</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III- Inscrição do ato constitutivo, no caso de sociedades civis, acompanhada de prova de diretoria em exercício;</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IV - Decreto de autorização, em se tratando de empresa ou sociedade estrangeira em funcionamento no País, e ato de registro ou autorização para funcionamento expedido pelo órgão competente, quando a atividade assim o exigir.</w:t>
      </w:r>
    </w:p>
    <w:p>
      <w:pPr>
        <w:pStyle w:val="style57"/>
        <w:spacing w:after="240" w:before="240"/>
        <w:ind w:hanging="0" w:left="0" w:right="0"/>
        <w:contextualSpacing w:val="false"/>
        <w:jc w:val="both"/>
      </w:pPr>
      <w:r>
        <w:rPr>
          <w:rFonts w:ascii="Calibri" w:cs="Calibri" w:eastAsia="Adobe Fan Heiti Std B" w:hAnsi="Calibri"/>
          <w:color w:val="000000"/>
          <w:sz w:val="24"/>
          <w:szCs w:val="24"/>
        </w:rPr>
        <w:t>V – Comprovação de regularidade com as disposições do Sistema Financeiro Brasileiro.</w:t>
      </w:r>
    </w:p>
    <w:p>
      <w:pPr>
        <w:pStyle w:val="style57"/>
        <w:numPr>
          <w:ilvl w:val="2"/>
          <w:numId w:val="3"/>
        </w:numPr>
        <w:spacing w:after="240" w:before="240"/>
        <w:ind w:firstLine="737" w:left="720" w:right="0"/>
        <w:contextualSpacing w:val="false"/>
        <w:jc w:val="both"/>
      </w:pPr>
      <w:r>
        <w:rPr>
          <w:rFonts w:ascii="Calibri" w:cs="Calibri" w:eastAsia="Adobe Fan Heiti Std B" w:hAnsi="Calibri"/>
          <w:b/>
          <w:color w:val="000000"/>
          <w:sz w:val="24"/>
          <w:szCs w:val="24"/>
        </w:rPr>
        <w:t>RELATIVOS À REGULARIDADE FISCAL E TRABALHISTA</w:t>
      </w:r>
      <w:r>
        <w:rPr>
          <w:rFonts w:ascii="Calibri" w:cs="Calibri" w:eastAsia="Adobe Fan Heiti Std B" w:hAnsi="Calibri"/>
          <w:color w:val="000000"/>
          <w:sz w:val="24"/>
          <w:szCs w:val="24"/>
        </w:rPr>
        <w:t xml:space="preserve">: </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 - Prova de inscrição no Cadastro Nacional de Pessoa Jurídica (CNPJ);</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II - Prova de regularidade relativa à Seguridade Social e dívida ativa da União;</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IV - Certificado de Regularidade do FGTS (CRF) expedido pela Caixa Econômica Federal;</w:t>
      </w:r>
    </w:p>
    <w:p>
      <w:pPr>
        <w:pStyle w:val="style57"/>
        <w:spacing w:after="240" w:before="240"/>
        <w:ind w:hanging="0" w:left="0" w:right="0"/>
        <w:contextualSpacing w:val="false"/>
        <w:jc w:val="both"/>
      </w:pPr>
      <w:r>
        <w:rPr>
          <w:rFonts w:ascii="Calibri" w:cs="Calibri" w:eastAsia="Adobe Fan Heiti Std B" w:hAnsi="Calibri"/>
          <w:color w:val="000000"/>
          <w:sz w:val="24"/>
          <w:szCs w:val="24"/>
        </w:rPr>
        <w:t>V - Certidão Negativa de Débitos Trabalhistas (CNDT), para comprovação de que a empresa não possui débitos trabalhistas.</w:t>
      </w:r>
    </w:p>
    <w:p>
      <w:pPr>
        <w:pStyle w:val="style57"/>
        <w:numPr>
          <w:ilvl w:val="2"/>
          <w:numId w:val="3"/>
        </w:numPr>
        <w:spacing w:after="240" w:before="240"/>
        <w:ind w:firstLine="737" w:left="142" w:right="-1"/>
        <w:contextualSpacing w:val="false"/>
        <w:jc w:val="both"/>
      </w:pPr>
      <w:r>
        <w:rPr>
          <w:rFonts w:ascii="Calibri" w:cs="Calibri" w:eastAsia="Adobe Fan Heiti Std B" w:hAnsi="Calibri"/>
          <w:b/>
          <w:color w:val="000000"/>
          <w:sz w:val="24"/>
          <w:szCs w:val="24"/>
        </w:rPr>
        <w:t>RELATIVOS À QUALIFICAÇÃO ECONÔMICO-FINANCEIRA</w:t>
      </w:r>
      <w:r>
        <w:rPr>
          <w:rFonts w:ascii="Calibri" w:cs="Calibri" w:eastAsia="Adobe Fan Heiti Std B" w:hAnsi="Calibri"/>
          <w:color w:val="000000"/>
          <w:sz w:val="24"/>
          <w:szCs w:val="24"/>
        </w:rPr>
        <w:t xml:space="preserve">: </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 – Certidão negativa de falência e concordata expedida pelo distribuidor da sede da pessoa jurídica, ou certidão negativa de recuperação judicial e extrajudicial, de acordo com a Lei 11.101/2005.</w:t>
      </w:r>
    </w:p>
    <w:p>
      <w:pPr>
        <w:pStyle w:val="style57"/>
        <w:numPr>
          <w:ilvl w:val="2"/>
          <w:numId w:val="3"/>
        </w:numPr>
        <w:spacing w:after="240" w:before="240"/>
        <w:ind w:firstLine="737" w:left="142" w:right="-1"/>
        <w:contextualSpacing w:val="false"/>
        <w:jc w:val="both"/>
      </w:pPr>
      <w:r>
        <w:rPr>
          <w:rFonts w:ascii="Calibri" w:cs="Calibri" w:eastAsia="Adobe Fan Heiti Std B" w:hAnsi="Calibri"/>
          <w:b/>
          <w:color w:val="000000"/>
          <w:sz w:val="24"/>
          <w:szCs w:val="24"/>
        </w:rPr>
        <w:t>RELATIVOS À QUALIFICAÇÃO TECNOLÓGICA</w:t>
      </w:r>
      <w:r>
        <w:rPr>
          <w:rFonts w:ascii="Calibri" w:cs="Calibri" w:eastAsia="Adobe Fan Heiti Std B" w:hAnsi="Calibri"/>
          <w:color w:val="000000"/>
          <w:sz w:val="24"/>
          <w:szCs w:val="24"/>
        </w:rPr>
        <w:t xml:space="preserve">: </w:t>
      </w:r>
    </w:p>
    <w:p>
      <w:pPr>
        <w:pStyle w:val="style57"/>
        <w:spacing w:after="240" w:before="240"/>
        <w:ind w:hanging="0" w:left="0" w:right="0"/>
        <w:contextualSpacing w:val="false"/>
        <w:jc w:val="both"/>
      </w:pPr>
      <w:r>
        <w:rPr>
          <w:rFonts w:ascii="Calibri" w:cs="Calibri" w:eastAsia="Adobe Fan Heiti Std B" w:hAnsi="Calibri"/>
          <w:color w:val="000000"/>
          <w:sz w:val="24"/>
          <w:szCs w:val="24"/>
        </w:rPr>
        <w:t>I - Comprovação através de apresentação de Certificação válida expedida por empresa de auditoria oficialmente credenciada pelo PCI-DSS (</w:t>
      </w:r>
      <w:r>
        <w:rPr>
          <w:rFonts w:ascii="Calibri" w:cs="Calibri" w:eastAsia="Adobe Fan Heiti Std B" w:hAnsi="Calibri"/>
          <w:i/>
          <w:color w:val="000000"/>
          <w:sz w:val="24"/>
          <w:szCs w:val="24"/>
        </w:rPr>
        <w:t xml:space="preserve">PaymentCardIndustry Data Security Standards </w:t>
      </w:r>
      <w:r>
        <w:rPr>
          <w:rFonts w:ascii="Calibri" w:cs="Calibri" w:eastAsia="Adobe Fan Heiti Std B" w:hAnsi="Calibri"/>
          <w:color w:val="000000"/>
          <w:sz w:val="24"/>
          <w:szCs w:val="24"/>
        </w:rPr>
        <w:t>- Padrão de Segurança de Dados da Indústria de Cartões de Pagamento) de que o processamento da transação opera em plena conformidade com os padrões estabelecidos pelo PCI-DSS  (</w:t>
      </w:r>
      <w:r>
        <w:rPr>
          <w:rFonts w:ascii="Calibri" w:cs="Calibri" w:eastAsia="Adobe Fan Heiti Std B" w:hAnsi="Calibri"/>
          <w:i/>
          <w:color w:val="000000"/>
          <w:sz w:val="24"/>
          <w:szCs w:val="24"/>
        </w:rPr>
        <w:t>PaymentCardIndustry Data Security Standards</w:t>
      </w:r>
      <w:r>
        <w:rPr>
          <w:rFonts w:ascii="Calibri" w:cs="Calibri" w:eastAsia="Adobe Fan Heiti Std B" w:hAnsi="Calibri"/>
          <w:color w:val="000000"/>
          <w:sz w:val="24"/>
          <w:szCs w:val="24"/>
        </w:rPr>
        <w:t xml:space="preserve"> - Padrão de Segurança de Dados da Indústria de Cartões de Pagamento).</w:t>
      </w:r>
    </w:p>
    <w:p>
      <w:pPr>
        <w:pStyle w:val="style57"/>
        <w:spacing w:after="240" w:before="240"/>
        <w:contextualSpacing w:val="false"/>
        <w:jc w:val="both"/>
      </w:pPr>
      <w:r>
        <w:rPr/>
      </w:r>
    </w:p>
    <w:p>
      <w:pPr>
        <w:pStyle w:val="style57"/>
        <w:numPr>
          <w:ilvl w:val="0"/>
          <w:numId w:val="3"/>
        </w:numPr>
        <w:pBdr>
          <w:bottom w:color="00000A" w:space="0" w:sz="2" w:val="single"/>
        </w:pBdr>
        <w:spacing w:after="240" w:before="240"/>
        <w:ind w:hanging="851" w:left="851" w:right="-1"/>
        <w:contextualSpacing w:val="false"/>
        <w:jc w:val="both"/>
      </w:pPr>
      <w:bookmarkStart w:id="7" w:name="_Toc29558908"/>
      <w:bookmarkEnd w:id="7"/>
      <w:r>
        <w:rPr>
          <w:rFonts w:ascii="Arial Narrow" w:cs="Arial" w:hAnsi="Arial Narrow"/>
          <w:b/>
          <w:sz w:val="24"/>
          <w:szCs w:val="24"/>
        </w:rPr>
        <w:t>DAS OBRIGAÇÕES FINANCEIRAS</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 xml:space="preserve">O serviço será prestado </w:t>
      </w:r>
      <w:r>
        <w:rPr>
          <w:rFonts w:ascii="Calibri" w:cs="Calibri" w:eastAsia="Adobe Fan Heiti Std B" w:hAnsi="Calibri"/>
          <w:b/>
          <w:color w:val="000000"/>
          <w:sz w:val="24"/>
          <w:szCs w:val="24"/>
        </w:rPr>
        <w:t>SEM ÔNUS</w:t>
      </w:r>
      <w:r>
        <w:rPr>
          <w:rFonts w:ascii="Calibri" w:cs="Calibri" w:eastAsia="Adobe Fan Heiti Std B" w:hAnsi="Calibri"/>
          <w:color w:val="000000"/>
          <w:sz w:val="24"/>
          <w:szCs w:val="24"/>
        </w:rPr>
        <w:t xml:space="preserve"> para o Município de Itaboraí, não implicando compromissos, nem obrigações financeiras ou transferência de recursos entre os partícipes, bem como não gera direito, de uma à outra, a indenização, contraprestações pecuniárias, ressarcimento e/ou reembolsos.</w:t>
      </w:r>
    </w:p>
    <w:p>
      <w:pPr>
        <w:pStyle w:val="style57"/>
        <w:numPr>
          <w:ilvl w:val="1"/>
          <w:numId w:val="3"/>
        </w:numPr>
        <w:spacing w:after="240" w:before="240"/>
        <w:ind w:hanging="360" w:left="0" w:right="-1"/>
        <w:contextualSpacing w:val="false"/>
        <w:jc w:val="both"/>
      </w:pPr>
      <w:r>
        <w:rPr>
          <w:rFonts w:ascii="Calibri" w:cs="Calibri" w:eastAsia="Adobe Fan Heiti Std B" w:hAnsi="Calibri"/>
          <w:color w:val="000000"/>
          <w:sz w:val="24"/>
          <w:szCs w:val="24"/>
        </w:rPr>
        <w:t>Caberá aos interessados no credenciamento firmarem declaração de concordância com a inexistência de custos para a prestação dos serviços.</w:t>
      </w:r>
    </w:p>
    <w:p>
      <w:pPr>
        <w:pStyle w:val="style57"/>
        <w:spacing w:after="240" w:before="240"/>
        <w:ind w:hanging="0" w:left="851" w:right="-1"/>
        <w:contextualSpacing w:val="false"/>
        <w:jc w:val="both"/>
      </w:pPr>
      <w:r>
        <w:rPr/>
      </w:r>
    </w:p>
    <w:p>
      <w:pPr>
        <w:pStyle w:val="style57"/>
        <w:numPr>
          <w:ilvl w:val="0"/>
          <w:numId w:val="3"/>
        </w:numPr>
        <w:pBdr>
          <w:bottom w:color="00000A" w:space="0" w:sz="2" w:val="single"/>
        </w:pBdr>
        <w:spacing w:after="240" w:before="240"/>
        <w:ind w:hanging="0" w:left="720" w:right="-1"/>
        <w:contextualSpacing w:val="false"/>
        <w:jc w:val="both"/>
      </w:pPr>
      <w:bookmarkStart w:id="8" w:name="_Toc29558909"/>
      <w:bookmarkEnd w:id="8"/>
      <w:r>
        <w:rPr>
          <w:rFonts w:ascii="Arial Narrow" w:cs="Arial" w:hAnsi="Arial Narrow"/>
          <w:b/>
          <w:sz w:val="24"/>
          <w:szCs w:val="24"/>
        </w:rPr>
        <w:t>DO JULGAMENTO</w:t>
      </w:r>
    </w:p>
    <w:p>
      <w:pPr>
        <w:pStyle w:val="style57"/>
        <w:numPr>
          <w:ilvl w:val="1"/>
          <w:numId w:val="3"/>
        </w:numPr>
        <w:spacing w:after="240" w:before="240"/>
        <w:ind w:hanging="360" w:left="0" w:right="-1"/>
        <w:contextualSpacing w:val="false"/>
        <w:jc w:val="both"/>
      </w:pPr>
      <w:r>
        <w:rPr>
          <w:rFonts w:ascii="Calibri" w:cs="Calibri" w:eastAsia="Adobe Fan Heiti Std B" w:hAnsi="Calibri"/>
          <w:color w:val="000000"/>
          <w:sz w:val="24"/>
          <w:szCs w:val="24"/>
        </w:rPr>
        <w:t xml:space="preserve">Findo o prazo de credenciamento, será </w:t>
      </w:r>
      <w:r>
        <w:rPr>
          <w:rFonts w:ascii="Calibri" w:cs="Calibri" w:eastAsia="Adobe Fan Heiti Std B" w:hAnsi="Calibri"/>
          <w:color w:val="000000"/>
          <w:sz w:val="24"/>
          <w:szCs w:val="24"/>
        </w:rPr>
        <w:t>divulgada listagem em até 3 (três) dias com a relação dos credenciados regularmente habilitados para firmarem termo contratual com a Administração Pública. Os interessados eventualmente inabilitados poderão retirar junto à Secretaria Municipal de Administração as razões de indeferimento para, querendo, atuarem na forma do item 5.2.</w:t>
      </w:r>
    </w:p>
    <w:p>
      <w:pPr>
        <w:pStyle w:val="style57"/>
        <w:numPr>
          <w:ilvl w:val="1"/>
          <w:numId w:val="3"/>
        </w:numPr>
        <w:spacing w:after="240" w:before="240"/>
        <w:ind w:hanging="360" w:left="0" w:right="-1"/>
        <w:contextualSpacing w:val="false"/>
        <w:jc w:val="both"/>
      </w:pPr>
      <w:r>
        <w:rPr>
          <w:rFonts w:ascii="Calibri" w:cs="Calibri" w:eastAsia="Adobe Fan Heiti Std B" w:hAnsi="Calibri"/>
          <w:color w:val="000000"/>
          <w:sz w:val="24"/>
          <w:szCs w:val="24"/>
        </w:rPr>
        <w:t>Em caso de mais de 01 (uma) empresa realizar o credenciamento, todas serão contratadas, sem qualquer distinção, respeitando a ordem cronológica de entrega dos documentos</w:t>
      </w:r>
    </w:p>
    <w:p>
      <w:pPr>
        <w:pStyle w:val="style57"/>
        <w:spacing w:after="240" w:before="240"/>
        <w:ind w:hanging="0" w:left="0" w:right="-1"/>
        <w:contextualSpacing w:val="false"/>
        <w:jc w:val="both"/>
      </w:pPr>
      <w:r>
        <w:rPr/>
      </w:r>
    </w:p>
    <w:p>
      <w:pPr>
        <w:pStyle w:val="style57"/>
        <w:numPr>
          <w:ilvl w:val="0"/>
          <w:numId w:val="3"/>
        </w:numPr>
        <w:pBdr>
          <w:bottom w:color="00000A" w:space="0" w:sz="2" w:val="single"/>
        </w:pBdr>
        <w:spacing w:after="240" w:before="240"/>
        <w:contextualSpacing w:val="false"/>
        <w:jc w:val="both"/>
      </w:pPr>
      <w:bookmarkStart w:id="9" w:name="_Toc29558910"/>
      <w:bookmarkEnd w:id="9"/>
      <w:r>
        <w:rPr>
          <w:rFonts w:ascii="Arial Narrow" w:cs="Arial" w:hAnsi="Arial Narrow"/>
          <w:b/>
          <w:sz w:val="24"/>
          <w:szCs w:val="24"/>
        </w:rPr>
        <w:t>DAS SANÇÕES ADMINISTRATIVAS</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Sem prejuízo das demais sanções previstas na Lei Federal nº. 8.666/1993, o credenciado habilitado ficará sujeito às seguintes penalidades:</w:t>
      </w:r>
    </w:p>
    <w:p>
      <w:pPr>
        <w:pStyle w:val="style57"/>
        <w:numPr>
          <w:ilvl w:val="2"/>
          <w:numId w:val="3"/>
        </w:numPr>
        <w:spacing w:after="240" w:before="240"/>
        <w:contextualSpacing w:val="false"/>
        <w:jc w:val="both"/>
      </w:pPr>
      <w:r>
        <w:rPr>
          <w:rFonts w:ascii="Calibri" w:cs="Calibri" w:eastAsia="Adobe Fan Heiti Std B" w:hAnsi="Calibri"/>
          <w:color w:val="000000"/>
          <w:sz w:val="24"/>
          <w:szCs w:val="24"/>
        </w:rPr>
        <w:t>Advertência, por escrito, no caso de pequenas irregularidades e sanáveis sem prejuízo para a Administração, para as quais não tenha concorrido diretamente;</w:t>
      </w:r>
    </w:p>
    <w:p>
      <w:pPr>
        <w:pStyle w:val="style57"/>
        <w:numPr>
          <w:ilvl w:val="2"/>
          <w:numId w:val="3"/>
        </w:numPr>
        <w:spacing w:after="240" w:before="240"/>
        <w:contextualSpacing w:val="false"/>
        <w:jc w:val="both"/>
      </w:pPr>
      <w:r>
        <w:rPr>
          <w:rFonts w:ascii="Calibri" w:cs="Calibri" w:eastAsia="Adobe Fan Heiti Std B" w:hAnsi="Calibri"/>
          <w:color w:val="000000"/>
          <w:sz w:val="24"/>
          <w:szCs w:val="24"/>
        </w:rPr>
        <w:t>Advertência cumulada com reposição de prejuízos, quando forem constatadas irregularidades de menor gravidade para a Administração, para as quais o credenciamento tenha concorrido diretamente;</w:t>
      </w:r>
    </w:p>
    <w:p>
      <w:pPr>
        <w:pStyle w:val="style57"/>
        <w:numPr>
          <w:ilvl w:val="2"/>
          <w:numId w:val="3"/>
        </w:numPr>
        <w:spacing w:after="240" w:before="240"/>
        <w:contextualSpacing w:val="false"/>
        <w:jc w:val="both"/>
      </w:pPr>
      <w:r>
        <w:rPr>
          <w:rFonts w:ascii="Calibri" w:cs="Calibri" w:eastAsia="Adobe Fan Heiti Std B" w:hAnsi="Calibri"/>
          <w:color w:val="000000"/>
          <w:sz w:val="24"/>
          <w:szCs w:val="24"/>
        </w:rPr>
        <w:t>Descredenciamento quando reiteradamente descumprir alguma cláusula deste Edital com prejuízo para a Administração e com a concorrência do credenciado para tal, ou quando o credenciado deixar de cumprir as obrigações assumidas através de falta grave dolosa ou revestida de má fé ou quando constatada a inveracidade de quaisquer das informações ou documentos apresentados pelo credenciado.</w:t>
      </w:r>
    </w:p>
    <w:p>
      <w:pPr>
        <w:pStyle w:val="style57"/>
        <w:numPr>
          <w:ilvl w:val="2"/>
          <w:numId w:val="3"/>
        </w:numPr>
        <w:spacing w:after="240" w:before="240"/>
        <w:contextualSpacing w:val="false"/>
        <w:jc w:val="both"/>
      </w:pPr>
      <w:r>
        <w:rPr>
          <w:rFonts w:ascii="Calibri" w:cs="Calibri" w:eastAsia="Adobe Fan Heiti Std B" w:hAnsi="Calibri"/>
          <w:color w:val="000000"/>
          <w:sz w:val="24"/>
          <w:szCs w:val="24"/>
        </w:rPr>
        <w:t>Multa de 10% (dez por cento), calculado sobre o valor dos serviços que se propos a prestar, quando devidamente convocado, deixar de assinar o contrato,</w:t>
      </w:r>
    </w:p>
    <w:p>
      <w:pPr>
        <w:pStyle w:val="style57"/>
        <w:spacing w:after="240" w:before="240"/>
        <w:ind w:hanging="0" w:left="0" w:right="-1"/>
        <w:contextualSpacing w:val="false"/>
        <w:jc w:val="both"/>
      </w:pPr>
      <w:r>
        <w:rPr/>
      </w:r>
    </w:p>
    <w:p>
      <w:pPr>
        <w:pStyle w:val="style57"/>
        <w:numPr>
          <w:ilvl w:val="0"/>
          <w:numId w:val="3"/>
        </w:numPr>
        <w:pBdr>
          <w:bottom w:color="00000A" w:space="0" w:sz="2" w:val="single"/>
        </w:pBdr>
        <w:spacing w:after="240" w:before="240"/>
        <w:contextualSpacing w:val="false"/>
        <w:jc w:val="both"/>
      </w:pPr>
      <w:bookmarkStart w:id="10" w:name="_Toc29558911"/>
      <w:bookmarkEnd w:id="10"/>
      <w:r>
        <w:rPr>
          <w:rFonts w:ascii="Arial Narrow" w:cs="Arial" w:hAnsi="Arial Narrow"/>
          <w:b/>
          <w:sz w:val="24"/>
          <w:szCs w:val="24"/>
        </w:rPr>
        <w:t>DAS HIPÓTESES DE DESCREDENCIAMENTO</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Serão casos de descredenciamento a inobservância às previsões do Termo de Referência, Edital e termo contratual, em especial quando:</w:t>
      </w:r>
    </w:p>
    <w:p>
      <w:pPr>
        <w:pStyle w:val="style57"/>
        <w:numPr>
          <w:ilvl w:val="2"/>
          <w:numId w:val="3"/>
        </w:numPr>
        <w:spacing w:after="240" w:before="240"/>
        <w:ind w:firstLine="737" w:left="720" w:right="0"/>
        <w:contextualSpacing w:val="false"/>
        <w:jc w:val="both"/>
      </w:pPr>
      <w:r>
        <w:rPr/>
        <w:t xml:space="preserve">o credenciado </w:t>
      </w:r>
      <w:r>
        <w:rPr>
          <w:rFonts w:ascii="Calibri" w:cs="Calibri" w:eastAsia="Adobe Fan Heiti Std B" w:hAnsi="Calibri"/>
          <w:color w:val="000000"/>
          <w:sz w:val="24"/>
          <w:szCs w:val="24"/>
        </w:rPr>
        <w:t>deixar de cumprir qualquer cláusula e condições estabelecidas no contrato a ser firmado com os interessados;</w:t>
      </w:r>
    </w:p>
    <w:p>
      <w:pPr>
        <w:pStyle w:val="style57"/>
        <w:numPr>
          <w:ilvl w:val="2"/>
          <w:numId w:val="3"/>
        </w:numPr>
        <w:spacing w:after="240" w:before="240"/>
        <w:ind w:firstLine="737" w:left="720" w:right="0"/>
        <w:contextualSpacing w:val="false"/>
        <w:jc w:val="both"/>
      </w:pPr>
      <w:r>
        <w:rPr>
          <w:rFonts w:ascii="Calibri" w:cs="Calibri" w:eastAsia="Adobe Fan Heiti Std B" w:hAnsi="Calibri"/>
          <w:color w:val="000000"/>
          <w:sz w:val="24"/>
          <w:szCs w:val="24"/>
        </w:rPr>
        <w:t>o credenciado praticar atos fraudulentos no intuito de auferir para si ou para outrem vantagem ilícita;</w:t>
      </w:r>
    </w:p>
    <w:p>
      <w:pPr>
        <w:pStyle w:val="style57"/>
        <w:numPr>
          <w:ilvl w:val="2"/>
          <w:numId w:val="3"/>
        </w:numPr>
        <w:spacing w:after="240" w:before="240"/>
        <w:ind w:firstLine="737" w:left="720" w:right="0"/>
        <w:contextualSpacing w:val="false"/>
        <w:jc w:val="both"/>
      </w:pPr>
      <w:r>
        <w:rPr>
          <w:rFonts w:ascii="Calibri" w:cs="Calibri" w:eastAsia="Adobe Fan Heiti Std B" w:hAnsi="Calibri"/>
          <w:color w:val="000000"/>
          <w:sz w:val="24"/>
          <w:szCs w:val="24"/>
        </w:rPr>
        <w:t>ficar evidenciada a incapacidade do credenciado de cumprir as obrigações assumidas devidamente caracterizadas em relatório circunstanciado de inspeção;</w:t>
      </w:r>
    </w:p>
    <w:p>
      <w:pPr>
        <w:pStyle w:val="style57"/>
        <w:numPr>
          <w:ilvl w:val="2"/>
          <w:numId w:val="3"/>
        </w:numPr>
        <w:spacing w:after="240" w:before="240"/>
        <w:ind w:firstLine="737" w:left="720" w:right="0"/>
        <w:contextualSpacing w:val="false"/>
        <w:jc w:val="both"/>
      </w:pPr>
      <w:r>
        <w:rPr>
          <w:rFonts w:ascii="Calibri" w:cs="Calibri" w:eastAsia="Adobe Fan Heiti Std B" w:hAnsi="Calibri"/>
          <w:color w:val="000000"/>
          <w:sz w:val="24"/>
          <w:szCs w:val="24"/>
        </w:rPr>
        <w:t>no caso de decretação de falência ou concordata da empresa credenciada; sua dissolução ou falecimento de todos os sócios;</w:t>
      </w:r>
    </w:p>
    <w:p>
      <w:pPr>
        <w:pStyle w:val="style57"/>
        <w:numPr>
          <w:ilvl w:val="2"/>
          <w:numId w:val="3"/>
        </w:numPr>
        <w:spacing w:after="240" w:before="240"/>
        <w:ind w:firstLine="737" w:left="720" w:right="0"/>
        <w:contextualSpacing w:val="false"/>
        <w:jc w:val="both"/>
      </w:pPr>
      <w:r>
        <w:rPr>
          <w:rFonts w:ascii="Calibri" w:cs="Calibri" w:eastAsia="Adobe Fan Heiti Std B" w:hAnsi="Calibri"/>
          <w:color w:val="000000"/>
          <w:sz w:val="24"/>
          <w:szCs w:val="24"/>
        </w:rPr>
        <w:t xml:space="preserve"> </w:t>
      </w:r>
      <w:r>
        <w:rPr>
          <w:rFonts w:ascii="Calibri" w:cs="Calibri" w:eastAsia="Adobe Fan Heiti Std B" w:hAnsi="Calibri"/>
          <w:color w:val="000000"/>
          <w:sz w:val="24"/>
          <w:szCs w:val="24"/>
        </w:rPr>
        <w:tab/>
        <w:t>quando o Município entender não mais ser viável a manutenção dos serviços objetos do credenciamento, mediante</w:t>
      </w:r>
      <w:r>
        <w:rPr/>
        <w:t xml:space="preserve"> aviso prévio formal com prazo de 30 (trinta) dias.</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Poderá o credenciado, mediante solicitação escrita e devidamente justificada à Prefeitura, com antecedência mínima de 60 (sessenta) dias solicitar seu descredenciamento;</w:t>
      </w:r>
    </w:p>
    <w:p>
      <w:pPr>
        <w:pStyle w:val="style57"/>
        <w:spacing w:after="240" w:before="240"/>
        <w:ind w:hanging="0" w:left="0" w:right="0"/>
        <w:contextualSpacing w:val="false"/>
        <w:jc w:val="both"/>
      </w:pPr>
      <w:r>
        <w:rPr/>
      </w:r>
    </w:p>
    <w:p>
      <w:pPr>
        <w:pStyle w:val="style57"/>
        <w:numPr>
          <w:ilvl w:val="0"/>
          <w:numId w:val="3"/>
        </w:numPr>
        <w:pBdr>
          <w:bottom w:color="00000A" w:space="0" w:sz="2" w:val="single"/>
        </w:pBdr>
        <w:spacing w:after="240" w:before="240"/>
        <w:ind w:hanging="0" w:left="720" w:right="-1"/>
        <w:contextualSpacing w:val="false"/>
        <w:jc w:val="both"/>
      </w:pPr>
      <w:bookmarkStart w:id="11" w:name="_Toc29558912"/>
      <w:bookmarkEnd w:id="11"/>
      <w:r>
        <w:rPr>
          <w:rFonts w:ascii="Arial Narrow" w:cs="Arial" w:hAnsi="Arial Narrow"/>
          <w:b/>
          <w:sz w:val="24"/>
          <w:szCs w:val="24"/>
        </w:rPr>
        <w:t>DO CONTRATO</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Homologado o credenciamento, o Município convocará o representante legal da(s) credenciada(s), mediante mensagem encaminhada por e-mail, ou telefone, para assinar o contrato no prazo de até cinco (5) dias úteis, prorrogável por igual prazo, mediante justificativa escrita apreciada pelo Município, sujeitando-se a(s) credenciada(s), em caso de recusa e/ou atrasos injustificados, ao disposto nos artigos 64, 81 e 87 da Lei nº 8.666/93.</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O edital e seus anexos, bem como a proposta da credenciada integrarão o contrato a ser firmado, independentemente de transcrição.</w:t>
      </w:r>
    </w:p>
    <w:p>
      <w:pPr>
        <w:pStyle w:val="style57"/>
        <w:numPr>
          <w:ilvl w:val="1"/>
          <w:numId w:val="3"/>
        </w:numPr>
        <w:spacing w:after="240" w:before="240"/>
        <w:ind w:hanging="360" w:left="0" w:right="0"/>
        <w:contextualSpacing w:val="false"/>
        <w:jc w:val="both"/>
      </w:pPr>
      <w:r>
        <w:rPr>
          <w:rFonts w:ascii="Calibri" w:cs="Calibri" w:eastAsia="Adobe Fan Heiti Std B" w:hAnsi="Calibri"/>
          <w:color w:val="000000"/>
          <w:sz w:val="24"/>
          <w:szCs w:val="24"/>
        </w:rPr>
        <w:t>O contrato vigorará pelo prazo de 12 (doze) meses, contados a partir da data da assinatura, podendo ser prorrogado, mediante termos aditivos, por igual prazo, até o limite máximo de 60 (sessenta) meses.</w:t>
      </w:r>
    </w:p>
    <w:p>
      <w:pPr>
        <w:pStyle w:val="style57"/>
        <w:spacing w:after="240" w:before="240"/>
        <w:ind w:hanging="0" w:left="851" w:right="-1"/>
        <w:contextualSpacing w:val="false"/>
        <w:jc w:val="both"/>
      </w:pPr>
      <w:r>
        <w:rPr/>
      </w:r>
    </w:p>
    <w:p>
      <w:pPr>
        <w:pStyle w:val="style57"/>
        <w:numPr>
          <w:ilvl w:val="0"/>
          <w:numId w:val="3"/>
        </w:numPr>
        <w:pBdr>
          <w:bottom w:color="00000A" w:space="0" w:sz="2" w:val="single"/>
        </w:pBdr>
        <w:spacing w:after="240" w:before="240"/>
        <w:ind w:hanging="0" w:left="720" w:right="-1"/>
        <w:contextualSpacing w:val="false"/>
        <w:jc w:val="both"/>
      </w:pPr>
      <w:bookmarkStart w:id="12" w:name="_Toc29558913"/>
      <w:bookmarkEnd w:id="12"/>
      <w:r>
        <w:rPr>
          <w:rFonts w:ascii="Arial Narrow" w:cs="Arial" w:hAnsi="Arial Narrow"/>
          <w:b/>
          <w:sz w:val="24"/>
          <w:szCs w:val="24"/>
        </w:rPr>
        <w:t>DAS DISPOSIÇÕES GERAIS</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É facultado à Comissão ou à autoridade competente, em qualquer fase da licitação, a promoção de diligência destinada a esclarecer ou complementar a instrução do processo.</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Fica assegurado ao Município o direito de revogar o edital de credenciamento, em face de razões de interesse público, derivadas de fato superveniente devidamente comprovado, pertinente e suficiente para justificar a revogação.</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 xml:space="preserve">O edital será publicado no sítio eletrônico do Poder Executivo </w:t>
      </w:r>
      <w:hyperlink r:id="rId4">
        <w:r>
          <w:rPr>
            <w:rStyle w:val="style30"/>
            <w:rStyle w:val="style30"/>
            <w:rFonts w:ascii="Calibri" w:cs="Calibri" w:eastAsia="Adobe Fan Heiti Std B" w:hAnsi="Calibri"/>
            <w:sz w:val="24"/>
            <w:szCs w:val="24"/>
          </w:rPr>
          <w:t>www.itaborai.rj.gov.br</w:t>
        </w:r>
      </w:hyperlink>
      <w:r>
        <w:rPr>
          <w:rFonts w:ascii="Calibri" w:cs="Calibri" w:eastAsia="Adobe Fan Heiti Std B" w:hAnsi="Calibri"/>
          <w:color w:val="000000"/>
          <w:sz w:val="24"/>
          <w:szCs w:val="24"/>
        </w:rPr>
        <w:t xml:space="preserve">  e em outros veículos que a legislação exigir.</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 xml:space="preserve">Informações e/ou esclarecimentos complementares a respeito de cláusulas e/ou condições do edital serão fornecidos pela Comissão, mediante solicitação por escrito, preferencialmente por meio eletrônico, através do e-mail </w:t>
      </w:r>
      <w:hyperlink r:id="rId5">
        <w:r>
          <w:rPr>
            <w:rStyle w:val="style30"/>
            <w:rStyle w:val="style30"/>
            <w:rFonts w:ascii="Calibri" w:cs="Calibri" w:eastAsia="Adobe Fan Heiti Std B" w:hAnsi="Calibri"/>
            <w:sz w:val="24"/>
            <w:szCs w:val="24"/>
          </w:rPr>
          <w:t>cpl@itaborai.rj.gov.br</w:t>
        </w:r>
      </w:hyperlink>
      <w:r>
        <w:rPr>
          <w:rFonts w:ascii="Calibri" w:cs="Calibri" w:eastAsia="Adobe Fan Heiti Std B" w:hAnsi="Calibri"/>
          <w:color w:val="000000"/>
          <w:sz w:val="24"/>
          <w:szCs w:val="24"/>
        </w:rPr>
        <w:t xml:space="preserve"> .</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Aos casos não previstos aplicar-se-ão, supletivamente, além de outras disposições da Lei 8.666/93, os preceitos de direito público, os princípios da teoria geral dos contratos e as disposições de direito privado pertinentes.</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O Município de Itaboraí disponibilizará aos Credenciados as informações necessárias para promover arrecadação, sempre respeitado os sigilos das informações fiscais.</w:t>
      </w:r>
    </w:p>
    <w:p>
      <w:pPr>
        <w:pStyle w:val="style57"/>
        <w:numPr>
          <w:ilvl w:val="1"/>
          <w:numId w:val="3"/>
        </w:numPr>
        <w:spacing w:after="240" w:before="240"/>
        <w:ind w:hanging="360" w:left="0" w:right="-1"/>
        <w:contextualSpacing/>
        <w:jc w:val="both"/>
      </w:pPr>
      <w:r>
        <w:rPr>
          <w:rFonts w:ascii="Calibri" w:cs="Calibri" w:eastAsia="Adobe Fan Heiti Std B" w:hAnsi="Calibri"/>
          <w:color w:val="000000"/>
          <w:sz w:val="24"/>
          <w:szCs w:val="24"/>
        </w:rPr>
        <w:t>O Município disponibilizará locais para implantação de equipamentos de cobrança em ATM, onde se dará preferência para o credenciado que apresentar melhores condições de parcelamento e menor custo ao contribuinte, ficando os demais credenciados disponibilizando as funcionalidades através de canais remotos.</w:t>
      </w:r>
    </w:p>
    <w:p>
      <w:pPr>
        <w:pStyle w:val="style57"/>
        <w:numPr>
          <w:ilvl w:val="1"/>
          <w:numId w:val="3"/>
        </w:numPr>
        <w:spacing w:after="240" w:before="240"/>
        <w:ind w:hanging="360" w:left="0" w:right="-1"/>
        <w:contextualSpacing w:val="false"/>
        <w:jc w:val="both"/>
      </w:pPr>
      <w:r>
        <w:rPr>
          <w:rFonts w:ascii="Calibri" w:cs="Calibri" w:eastAsia="Adobe Fan Heiti Std B" w:hAnsi="Calibri"/>
          <w:color w:val="000000"/>
          <w:sz w:val="24"/>
          <w:szCs w:val="24"/>
        </w:rPr>
        <w:t>A Prefeitura de Itaboraí disponibilizará em seu sítio da rede mundial de computadores os links especificados pelas empresas credenciadas para acesso remoto dos contribuintes às plataformas de operacionalização dos pagamentos.</w:t>
      </w:r>
    </w:p>
    <w:p>
      <w:pPr>
        <w:pStyle w:val="style57"/>
        <w:spacing w:after="240" w:before="240"/>
        <w:ind w:hanging="0" w:left="851" w:right="-1"/>
        <w:contextualSpacing w:val="false"/>
        <w:jc w:val="both"/>
      </w:pPr>
      <w:r>
        <w:rPr/>
      </w:r>
    </w:p>
    <w:p>
      <w:pPr>
        <w:pStyle w:val="style57"/>
        <w:spacing w:after="240" w:before="240"/>
        <w:ind w:hanging="0" w:left="0" w:right="-1"/>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sectPr>
          <w:type w:val="continuous"/>
          <w:pgSz w:h="16838" w:w="11906"/>
          <w:pgMar w:bottom="992" w:footer="227" w:gutter="0" w:header="0" w:left="1701" w:right="1134" w:top="1276"/>
          <w:pgNumType w:fmt="decimal"/>
          <w:formProt w:val="false"/>
          <w:textDirection w:val="lrTb"/>
          <w:docGrid w:charSpace="4096" w:linePitch="360" w:type="default"/>
        </w:sectPr>
      </w:pPr>
    </w:p>
    <w:sectPr>
      <w:type w:val="continuous"/>
      <w:pgSz w:h="16838" w:w="11906"/>
      <w:pgMar w:bottom="992" w:footer="227" w:gutter="0" w:header="0" w:left="1701" w:right="1134" w:top="1276"/>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9"/>
    </w:pPr>
    <w:r>
      <w:rPr/>
    </w:r>
  </w:p>
  <w:p>
    <w:pPr>
      <w:pStyle w:val="style59"/>
      <w:jc w:val="center"/>
    </w:pPr>
    <w:r>
      <w:rPr/>
    </w:r>
  </w:p>
  <w:p>
    <w:pPr>
      <w:pStyle w:val="style59"/>
      <w:jc w:val="center"/>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360"/>
      </w:pPr>
    </w:lvl>
    <w:lvl w:ilvl="1">
      <w:start w:val="2"/>
      <w:numFmt w:val="decimal"/>
      <w:lvlText w:val="%1.%2"/>
      <w:lvlJc w:val="left"/>
      <w:pPr>
        <w:ind w:hanging="360" w:left="360"/>
      </w:pPr>
      <w:rPr>
        <w:sz w:val="24"/>
        <w:szCs w:val="24"/>
      </w:rPr>
    </w:lvl>
    <w:lvl w:ilvl="2">
      <w:start w:val="1"/>
      <w:numFmt w:val="decimal"/>
      <w:lvlText w:val="%1.%2.%3"/>
      <w:lvlJc w:val="left"/>
      <w:pPr>
        <w:ind w:hanging="720" w:left="720"/>
      </w:pPr>
    </w:lvl>
    <w:lvl w:ilvl="3">
      <w:start w:val="1"/>
      <w:numFmt w:val="decimal"/>
      <w:lvlText w:val="%1.%2.%3.%4"/>
      <w:lvlJc w:val="left"/>
      <w:pPr>
        <w:ind w:hanging="1080" w:left="1080"/>
      </w:pPr>
      <w:rPr>
        <w:b w:val="false"/>
      </w:r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abstractNumId="3">
    <w:lvl w:ilvl="0">
      <w:start w:val="1"/>
      <w:numFmt w:val="decimal"/>
      <w:lvlText w:val="%1."/>
      <w:lvlJc w:val="left"/>
      <w:pPr>
        <w:tabs>
          <w:tab w:pos="284" w:val="num"/>
        </w:tabs>
        <w:ind w:hanging="0" w:left="0"/>
      </w:pPr>
    </w:lvl>
    <w:lvl w:ilvl="1">
      <w:start w:val="1"/>
      <w:numFmt w:val="decimal"/>
      <w:lvlText w:val="%1.%2"/>
      <w:lvlJc w:val="left"/>
      <w:pPr>
        <w:ind w:hanging="360" w:left="360"/>
      </w:pPr>
      <w:rPr>
        <w:b w:val="false"/>
        <w:bCs/>
      </w:rPr>
    </w:lvl>
    <w:lvl w:ilvl="2">
      <w:start w:val="1"/>
      <w:numFmt w:val="decimal"/>
      <w:lvlText w:val="%1.%2.%3"/>
      <w:lvlJc w:val="left"/>
      <w:pPr>
        <w:tabs>
          <w:tab w:pos="737" w:val="num"/>
        </w:tabs>
        <w:ind w:hanging="-737" w:left="0"/>
      </w:pPr>
    </w:lvl>
    <w:lvl w:ilvl="3">
      <w:start w:val="1"/>
      <w:numFmt w:val="decimal"/>
      <w:lvlText w:val="%1.%2.%3.%4"/>
      <w:lvlJc w:val="left"/>
      <w:pPr>
        <w:ind w:hanging="1080" w:left="1080"/>
      </w:pPr>
      <w:rPr>
        <w:b w:val="false"/>
      </w:r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276" w:lineRule="auto"/>
      <w:contextualSpacing w:val="false"/>
    </w:pPr>
    <w:rPr>
      <w:rFonts w:ascii="Verdana" w:cs="Verdana" w:eastAsia="Calibri" w:hAnsi="Verdana"/>
      <w:color w:val="000000"/>
      <w:sz w:val="24"/>
      <w:szCs w:val="24"/>
      <w:lang w:bidi="ar-SA" w:eastAsia="en-US" w:val="en-US"/>
    </w:rPr>
  </w:style>
  <w:style w:styleId="style1" w:type="paragraph">
    <w:name w:val="Título 1"/>
    <w:basedOn w:val="style0"/>
    <w:next w:val="style50"/>
    <w:pPr>
      <w:keepNext/>
      <w:keepLines/>
      <w:numPr>
        <w:ilvl w:val="0"/>
        <w:numId w:val="1"/>
      </w:numPr>
      <w:spacing w:after="0" w:before="480"/>
      <w:contextualSpacing w:val="false"/>
      <w:outlineLvl w:val="0"/>
    </w:pPr>
    <w:rPr>
      <w:rFonts w:ascii="Cambria" w:cs="Cambria" w:eastAsia="Times New Roman" w:hAnsi="Cambria"/>
      <w:b/>
      <w:bCs/>
      <w:color w:val="365F91"/>
      <w:sz w:val="28"/>
      <w:szCs w:val="28"/>
      <w:lang w:eastAsia="pt-BR"/>
    </w:rPr>
  </w:style>
  <w:style w:styleId="style2" w:type="paragraph">
    <w:name w:val="Título 2"/>
    <w:basedOn w:val="style0"/>
    <w:next w:val="style50"/>
    <w:pPr>
      <w:keepNext/>
      <w:keepLines/>
      <w:numPr>
        <w:ilvl w:val="1"/>
        <w:numId w:val="1"/>
      </w:numPr>
      <w:spacing w:after="0" w:before="40"/>
      <w:contextualSpacing w:val="false"/>
      <w:outlineLvl w:val="1"/>
    </w:pPr>
    <w:rPr>
      <w:rFonts w:ascii="Calibri Light" w:cs="" w:hAnsi="Calibri Light"/>
      <w:b/>
      <w:bCs/>
      <w:i/>
      <w:iCs/>
      <w:color w:val="2E74B5"/>
      <w:sz w:val="26"/>
      <w:szCs w:val="26"/>
    </w:rPr>
  </w:style>
  <w:style w:styleId="style3" w:type="paragraph">
    <w:name w:val="Título 3"/>
    <w:basedOn w:val="style0"/>
    <w:next w:val="style50"/>
    <w:pPr>
      <w:keepNext/>
      <w:keepLines/>
      <w:numPr>
        <w:ilvl w:val="2"/>
        <w:numId w:val="1"/>
      </w:numPr>
      <w:spacing w:after="0" w:before="40"/>
      <w:contextualSpacing w:val="false"/>
      <w:outlineLvl w:val="2"/>
    </w:pPr>
    <w:rPr>
      <w:rFonts w:ascii="Calibri Light" w:cs="" w:hAnsi="Calibri Light"/>
      <w:b/>
      <w:bCs/>
      <w:color w:val="1F4D78"/>
      <w:sz w:val="24"/>
      <w:szCs w:val="24"/>
    </w:rPr>
  </w:style>
  <w:style w:styleId="style4" w:type="paragraph">
    <w:name w:val="Título 4"/>
    <w:basedOn w:val="style0"/>
    <w:next w:val="style50"/>
    <w:pPr>
      <w:keepNext/>
      <w:keepLines/>
      <w:numPr>
        <w:ilvl w:val="3"/>
        <w:numId w:val="1"/>
      </w:numPr>
      <w:spacing w:after="0" w:before="40"/>
      <w:contextualSpacing w:val="false"/>
      <w:outlineLvl w:val="3"/>
    </w:pPr>
    <w:rPr>
      <w:rFonts w:ascii="Calibri Light" w:cs="" w:hAnsi="Calibri Light"/>
      <w:b/>
      <w:bCs/>
      <w:i/>
      <w:iCs/>
      <w:color w:val="2E74B5"/>
      <w:sz w:val="20"/>
      <w:szCs w:val="20"/>
    </w:rPr>
  </w:style>
  <w:style w:styleId="style15" w:type="character">
    <w:name w:val="Default Paragraph Font"/>
    <w:next w:val="style15"/>
    <w:rPr/>
  </w:style>
  <w:style w:styleId="style16" w:type="character">
    <w:name w:val="Título 2 Char"/>
    <w:basedOn w:val="style15"/>
    <w:next w:val="style16"/>
    <w:rPr>
      <w:rFonts w:ascii="Calibri Light" w:cs="" w:hAnsi="Calibri Light"/>
      <w:color w:val="2E74B5"/>
      <w:sz w:val="26"/>
      <w:szCs w:val="26"/>
      <w:lang w:eastAsia="en-US"/>
    </w:rPr>
  </w:style>
  <w:style w:styleId="style17" w:type="character">
    <w:name w:val="Título 3 Char"/>
    <w:basedOn w:val="style15"/>
    <w:next w:val="style17"/>
    <w:rPr>
      <w:rFonts w:ascii="Calibri Light" w:cs="" w:hAnsi="Calibri Light"/>
      <w:color w:val="1F4D78"/>
      <w:sz w:val="24"/>
      <w:szCs w:val="24"/>
      <w:lang w:eastAsia="en-US"/>
    </w:rPr>
  </w:style>
  <w:style w:styleId="style18" w:type="character">
    <w:name w:val="Título 4 Char"/>
    <w:basedOn w:val="style15"/>
    <w:next w:val="style18"/>
    <w:rPr>
      <w:rFonts w:ascii="Calibri Light" w:cs="" w:hAnsi="Calibri Light"/>
      <w:i/>
      <w:iCs/>
      <w:color w:val="2E74B5"/>
      <w:sz w:val="22"/>
      <w:szCs w:val="22"/>
      <w:lang w:eastAsia="en-US"/>
    </w:rPr>
  </w:style>
  <w:style w:styleId="style19" w:type="character">
    <w:name w:val="Absatz-Standardschriftart"/>
    <w:next w:val="style19"/>
    <w:rPr/>
  </w:style>
  <w:style w:styleId="style20" w:type="character">
    <w:name w:val="WW8Num3z0"/>
    <w:next w:val="style20"/>
    <w:rPr>
      <w:rFonts w:cs="Times New Roman"/>
    </w:rPr>
  </w:style>
  <w:style w:styleId="style21" w:type="character">
    <w:name w:val="WW-Absatz-Standardschriftart"/>
    <w:next w:val="style21"/>
    <w:rPr/>
  </w:style>
  <w:style w:styleId="style22" w:type="character">
    <w:name w:val="Fonte parág. padrão1"/>
    <w:next w:val="style22"/>
    <w:rPr/>
  </w:style>
  <w:style w:styleId="style23" w:type="character">
    <w:name w:val="Título 1 Char"/>
    <w:basedOn w:val="style22"/>
    <w:next w:val="style23"/>
    <w:rPr>
      <w:rFonts w:ascii="Cambria" w:cs="Times New Roman" w:eastAsia="Times New Roman" w:hAnsi="Cambria"/>
      <w:b/>
      <w:bCs/>
      <w:color w:val="365F91"/>
      <w:sz w:val="28"/>
      <w:szCs w:val="28"/>
    </w:rPr>
  </w:style>
  <w:style w:styleId="style24" w:type="character">
    <w:name w:val="Texto de balão Char"/>
    <w:basedOn w:val="style22"/>
    <w:next w:val="style24"/>
    <w:rPr>
      <w:rFonts w:ascii="Tahoma" w:cs="Tahoma" w:hAnsi="Tahoma"/>
      <w:sz w:val="16"/>
      <w:szCs w:val="16"/>
      <w:lang w:eastAsia="en-US"/>
    </w:rPr>
  </w:style>
  <w:style w:styleId="style25" w:type="character">
    <w:name w:val="Cabeçalho Char"/>
    <w:basedOn w:val="style22"/>
    <w:next w:val="style25"/>
    <w:rPr>
      <w:sz w:val="22"/>
      <w:szCs w:val="22"/>
      <w:lang w:eastAsia="en-US"/>
    </w:rPr>
  </w:style>
  <w:style w:styleId="style26" w:type="character">
    <w:name w:val="Rodapé Char"/>
    <w:basedOn w:val="style22"/>
    <w:next w:val="style26"/>
    <w:rPr>
      <w:sz w:val="22"/>
      <w:szCs w:val="22"/>
      <w:lang w:eastAsia="en-US"/>
    </w:rPr>
  </w:style>
  <w:style w:styleId="style27" w:type="character">
    <w:name w:val="WW8Num1z0"/>
    <w:next w:val="style27"/>
    <w:rPr>
      <w:rFonts w:cs="Times New Roman"/>
    </w:rPr>
  </w:style>
  <w:style w:styleId="style28" w:type="character">
    <w:name w:val="WW8Num2z0"/>
    <w:next w:val="style28"/>
    <w:rPr>
      <w:rFonts w:cs="Times New Roman"/>
    </w:rPr>
  </w:style>
  <w:style w:styleId="style29" w:type="character">
    <w:name w:val="WW8Num4z0"/>
    <w:next w:val="style29"/>
    <w:rPr>
      <w:rFonts w:cs="Times New Roman"/>
    </w:rPr>
  </w:style>
  <w:style w:styleId="style30" w:type="character">
    <w:name w:val="Link da Internet"/>
    <w:next w:val="style30"/>
    <w:rPr>
      <w:color w:val="0000FF"/>
      <w:u w:val="single"/>
      <w:lang w:bidi="pt-BR" w:eastAsia="pt-BR" w:val="pt-BR"/>
    </w:rPr>
  </w:style>
  <w:style w:styleId="style31" w:type="character">
    <w:name w:val="WW8Num5z0"/>
    <w:next w:val="style31"/>
    <w:rPr>
      <w:rFonts w:cs="Times New Roman"/>
    </w:rPr>
  </w:style>
  <w:style w:styleId="style32" w:type="character">
    <w:name w:val="WW8Num6z0"/>
    <w:next w:val="style32"/>
    <w:rPr>
      <w:rFonts w:cs="Times New Roman"/>
    </w:rPr>
  </w:style>
  <w:style w:styleId="style33" w:type="character">
    <w:name w:val="Título Char"/>
    <w:basedOn w:val="style15"/>
    <w:next w:val="style33"/>
    <w:rPr>
      <w:sz w:val="32"/>
    </w:rPr>
  </w:style>
  <w:style w:styleId="style34" w:type="character">
    <w:name w:val="Texto de balão Char1"/>
    <w:basedOn w:val="style15"/>
    <w:next w:val="style34"/>
    <w:rPr>
      <w:rFonts w:ascii="Segoe UI" w:cs="Segoe UI" w:eastAsia="Calibri" w:hAnsi="Segoe UI"/>
      <w:sz w:val="18"/>
      <w:szCs w:val="18"/>
      <w:lang w:eastAsia="en-US"/>
    </w:rPr>
  </w:style>
  <w:style w:styleId="style35" w:type="character">
    <w:name w:val="Unresolved Mention"/>
    <w:basedOn w:val="style15"/>
    <w:next w:val="style35"/>
    <w:rPr>
      <w:color w:val="605E5C"/>
      <w:shd w:fill="E1DFDD" w:val="clear"/>
    </w:rPr>
  </w:style>
  <w:style w:styleId="style36" w:type="character">
    <w:name w:val="annotation reference"/>
    <w:basedOn w:val="style15"/>
    <w:next w:val="style36"/>
    <w:rPr>
      <w:sz w:val="16"/>
      <w:szCs w:val="16"/>
    </w:rPr>
  </w:style>
  <w:style w:styleId="style37" w:type="character">
    <w:name w:val="Texto de comentário Char"/>
    <w:basedOn w:val="style15"/>
    <w:next w:val="style37"/>
    <w:rPr>
      <w:rFonts w:ascii="Calibri" w:eastAsia="Calibri" w:hAnsi="Calibri"/>
      <w:lang w:eastAsia="en-US"/>
    </w:rPr>
  </w:style>
  <w:style w:styleId="style38" w:type="character">
    <w:name w:val="Assunto do comentário Char"/>
    <w:basedOn w:val="style37"/>
    <w:next w:val="style38"/>
    <w:rPr>
      <w:rFonts w:ascii="Calibri" w:eastAsia="Calibri" w:hAnsi="Calibri"/>
      <w:b/>
      <w:bCs/>
      <w:lang w:eastAsia="en-US"/>
    </w:rPr>
  </w:style>
  <w:style w:styleId="style39" w:type="character">
    <w:name w:val="Texto de nota de rodapé Char"/>
    <w:basedOn w:val="style15"/>
    <w:next w:val="style39"/>
    <w:rPr>
      <w:rFonts w:ascii="Calibri" w:eastAsia="Calibri" w:hAnsi="Calibri"/>
      <w:lang w:eastAsia="en-US"/>
    </w:rPr>
  </w:style>
  <w:style w:styleId="style40" w:type="character">
    <w:name w:val="footnote reference"/>
    <w:basedOn w:val="style15"/>
    <w:next w:val="style40"/>
    <w:rPr>
      <w:vertAlign w:val="superscript"/>
    </w:rPr>
  </w:style>
  <w:style w:styleId="style41" w:type="character">
    <w:name w:val="ListLabel 1"/>
    <w:next w:val="style41"/>
    <w:rPr>
      <w:sz w:val="24"/>
      <w:szCs w:val="24"/>
    </w:rPr>
  </w:style>
  <w:style w:styleId="style42" w:type="character">
    <w:name w:val="ListLabel 2"/>
    <w:next w:val="style42"/>
    <w:rPr>
      <w:b w:val="false"/>
    </w:rPr>
  </w:style>
  <w:style w:styleId="style43" w:type="character">
    <w:name w:val="ListLabel 3"/>
    <w:next w:val="style43"/>
    <w:rPr>
      <w:b w:val="false"/>
      <w:bCs/>
    </w:rPr>
  </w:style>
  <w:style w:styleId="style44" w:type="character">
    <w:name w:val="ListLabel 4"/>
    <w:next w:val="style44"/>
    <w:rPr>
      <w:rFonts w:cs="Courier New"/>
    </w:rPr>
  </w:style>
  <w:style w:styleId="style45" w:type="character">
    <w:name w:val="ListLabel 5"/>
    <w:next w:val="style45"/>
    <w:rPr>
      <w:b/>
    </w:rPr>
  </w:style>
  <w:style w:styleId="style46" w:type="character">
    <w:name w:val="ListLabel 6"/>
    <w:next w:val="style46"/>
    <w:rPr>
      <w:sz w:val="24"/>
      <w:szCs w:val="24"/>
    </w:rPr>
  </w:style>
  <w:style w:styleId="style47" w:type="character">
    <w:name w:val="ListLabel 7"/>
    <w:next w:val="style47"/>
    <w:rPr>
      <w:b w:val="false"/>
    </w:rPr>
  </w:style>
  <w:style w:styleId="style48" w:type="character">
    <w:name w:val="ListLabel 8"/>
    <w:next w:val="style48"/>
    <w:rPr>
      <w:b w:val="false"/>
      <w:bCs/>
    </w:rPr>
  </w:style>
  <w:style w:styleId="style49" w:type="paragraph">
    <w:name w:val="Título"/>
    <w:basedOn w:val="style0"/>
    <w:next w:val="style50"/>
    <w:pPr>
      <w:keepNext/>
      <w:spacing w:after="120" w:before="240"/>
      <w:contextualSpacing w:val="false"/>
    </w:pPr>
    <w:rPr>
      <w:rFonts w:ascii="Arial" w:cs="Mangal" w:eastAsia="Microsoft YaHei" w:hAnsi="Arial"/>
      <w:sz w:val="28"/>
      <w:szCs w:val="28"/>
    </w:rPr>
  </w:style>
  <w:style w:styleId="style50" w:type="paragraph">
    <w:name w:val="Corpo de texto"/>
    <w:basedOn w:val="style0"/>
    <w:next w:val="style50"/>
    <w:pPr>
      <w:spacing w:after="120" w:before="0" w:line="100" w:lineRule="atLeast"/>
      <w:contextualSpacing w:val="false"/>
      <w:textAlignment w:val="baseline"/>
    </w:pPr>
    <w:rPr>
      <w:rFonts w:ascii="Times New Roman" w:cs="Mangal" w:eastAsia="Lucida Sans Unicode" w:hAnsi="Times New Roman"/>
      <w:sz w:val="24"/>
      <w:szCs w:val="21"/>
      <w:lang w:bidi="hi-IN" w:eastAsia="zh-CN"/>
    </w:rPr>
  </w:style>
  <w:style w:styleId="style51" w:type="paragraph">
    <w:name w:val="Lista"/>
    <w:basedOn w:val="style50"/>
    <w:next w:val="style51"/>
    <w:pPr/>
    <w:rPr>
      <w:rFonts w:cs="Lohit Hindi"/>
    </w:rPr>
  </w:style>
  <w:style w:styleId="style52" w:type="paragraph">
    <w:name w:val="Legenda"/>
    <w:basedOn w:val="style0"/>
    <w:next w:val="style52"/>
    <w:pPr>
      <w:suppressLineNumbers/>
      <w:spacing w:after="120" w:before="120"/>
      <w:contextualSpacing w:val="false"/>
    </w:pPr>
    <w:rPr>
      <w:rFonts w:cs="Mangal"/>
      <w:i/>
      <w:iCs/>
      <w:sz w:val="24"/>
      <w:szCs w:val="24"/>
    </w:rPr>
  </w:style>
  <w:style w:styleId="style53" w:type="paragraph">
    <w:name w:val="Índice"/>
    <w:basedOn w:val="style0"/>
    <w:next w:val="style53"/>
    <w:pPr>
      <w:suppressLineNumbers/>
    </w:pPr>
    <w:rPr>
      <w:rFonts w:cs="Lohit Hindi"/>
    </w:rPr>
  </w:style>
  <w:style w:styleId="style54" w:type="paragraph">
    <w:name w:val="Título1"/>
    <w:basedOn w:val="style0"/>
    <w:next w:val="style54"/>
    <w:pPr>
      <w:keepNext/>
      <w:spacing w:after="120" w:before="240"/>
      <w:contextualSpacing w:val="false"/>
    </w:pPr>
    <w:rPr>
      <w:rFonts w:ascii="Arial" w:cs="Lohit Hindi" w:eastAsia="DejaVu Sans" w:hAnsi="Arial"/>
      <w:sz w:val="28"/>
      <w:szCs w:val="28"/>
    </w:rPr>
  </w:style>
  <w:style w:styleId="style55" w:type="paragraph">
    <w:name w:val="caption"/>
    <w:basedOn w:val="style0"/>
    <w:next w:val="style55"/>
    <w:pPr>
      <w:suppressLineNumbers/>
      <w:spacing w:after="120" w:before="120"/>
      <w:contextualSpacing w:val="false"/>
    </w:pPr>
    <w:rPr>
      <w:rFonts w:cs="Lohit Hindi"/>
      <w:i/>
      <w:iCs/>
      <w:sz w:val="24"/>
      <w:szCs w:val="24"/>
    </w:rPr>
  </w:style>
  <w:style w:styleId="style56" w:type="paragraph">
    <w:name w:val="Texto de balão1"/>
    <w:basedOn w:val="style0"/>
    <w:next w:val="style56"/>
    <w:pPr>
      <w:spacing w:after="0" w:before="0" w:line="100" w:lineRule="atLeast"/>
      <w:contextualSpacing w:val="false"/>
    </w:pPr>
    <w:rPr>
      <w:rFonts w:ascii="Tahoma" w:cs="Tahoma" w:hAnsi="Tahoma"/>
      <w:sz w:val="16"/>
      <w:szCs w:val="16"/>
    </w:rPr>
  </w:style>
  <w:style w:styleId="style57" w:type="paragraph">
    <w:name w:val="Parágrafo da Lista1"/>
    <w:basedOn w:val="style0"/>
    <w:next w:val="style57"/>
    <w:pPr>
      <w:spacing w:after="200" w:before="0"/>
      <w:ind w:hanging="0" w:left="720" w:right="0"/>
      <w:contextualSpacing/>
    </w:pPr>
    <w:rPr/>
  </w:style>
  <w:style w:styleId="style58" w:type="paragraph">
    <w:name w:val="Cabeçalho"/>
    <w:basedOn w:val="style0"/>
    <w:next w:val="style58"/>
    <w:pPr>
      <w:suppressLineNumbers/>
      <w:tabs>
        <w:tab w:leader="none" w:pos="4252" w:val="center"/>
        <w:tab w:leader="none" w:pos="8504" w:val="right"/>
      </w:tabs>
      <w:spacing w:after="0" w:before="0" w:line="100" w:lineRule="atLeast"/>
      <w:contextualSpacing w:val="false"/>
    </w:pPr>
    <w:rPr/>
  </w:style>
  <w:style w:styleId="style59" w:type="paragraph">
    <w:name w:val="Rodapé"/>
    <w:basedOn w:val="style0"/>
    <w:next w:val="style59"/>
    <w:pPr>
      <w:suppressLineNumbers/>
      <w:tabs>
        <w:tab w:leader="none" w:pos="4252" w:val="center"/>
        <w:tab w:leader="none" w:pos="8504" w:val="right"/>
      </w:tabs>
      <w:spacing w:after="0" w:before="0" w:line="100" w:lineRule="atLeast"/>
      <w:contextualSpacing w:val="false"/>
    </w:pPr>
    <w:rPr/>
  </w:style>
  <w:style w:styleId="style60" w:type="paragraph">
    <w:name w:val="Conteúdo da tabela"/>
    <w:basedOn w:val="style0"/>
    <w:next w:val="style60"/>
    <w:pPr>
      <w:suppressLineNumbers/>
    </w:pPr>
    <w:rPr/>
  </w:style>
  <w:style w:styleId="style61" w:type="paragraph">
    <w:name w:val="Título principal"/>
    <w:basedOn w:val="style0"/>
    <w:next w:val="style62"/>
    <w:pPr>
      <w:suppressAutoHyphens w:val="false"/>
      <w:spacing w:after="0" w:before="0" w:line="100" w:lineRule="atLeast"/>
      <w:contextualSpacing w:val="false"/>
      <w:jc w:val="center"/>
    </w:pPr>
    <w:rPr>
      <w:rFonts w:ascii="Times New Roman" w:eastAsia="Times New Roman" w:hAnsi="Times New Roman"/>
      <w:b/>
      <w:bCs/>
      <w:sz w:val="32"/>
      <w:szCs w:val="20"/>
      <w:lang w:eastAsia="pt-BR"/>
    </w:rPr>
  </w:style>
  <w:style w:styleId="style62" w:type="paragraph">
    <w:name w:val="Subtítulo"/>
    <w:basedOn w:val="style49"/>
    <w:next w:val="style50"/>
    <w:pPr>
      <w:jc w:val="center"/>
    </w:pPr>
    <w:rPr>
      <w:i/>
      <w:iCs/>
      <w:sz w:val="28"/>
      <w:szCs w:val="28"/>
    </w:rPr>
  </w:style>
  <w:style w:styleId="style63" w:type="paragraph">
    <w:name w:val="Balloon Text"/>
    <w:basedOn w:val="style0"/>
    <w:next w:val="style63"/>
    <w:pPr>
      <w:spacing w:after="0" w:before="0" w:line="100" w:lineRule="atLeast"/>
      <w:contextualSpacing w:val="false"/>
    </w:pPr>
    <w:rPr>
      <w:rFonts w:ascii="Segoe UI" w:cs="Segoe UI" w:hAnsi="Segoe UI"/>
      <w:sz w:val="18"/>
      <w:szCs w:val="18"/>
    </w:rPr>
  </w:style>
  <w:style w:styleId="style64" w:type="paragraph">
    <w:name w:val="List Paragraph"/>
    <w:basedOn w:val="style0"/>
    <w:next w:val="style64"/>
    <w:pPr>
      <w:spacing w:after="200" w:before="0"/>
      <w:ind w:hanging="0" w:left="720" w:right="0"/>
      <w:contextualSpacing/>
    </w:pPr>
    <w:rPr/>
  </w:style>
  <w:style w:styleId="style65" w:type="paragraph">
    <w:name w:val="Corpo do texto"/>
    <w:basedOn w:val="style0"/>
    <w:next w:val="style65"/>
    <w:pPr>
      <w:widowControl w:val="false"/>
      <w:spacing w:after="0" w:before="0" w:line="100" w:lineRule="atLeast"/>
      <w:contextualSpacing w:val="false"/>
      <w:jc w:val="both"/>
    </w:pPr>
    <w:rPr>
      <w:rFonts w:ascii="Times New Roman" w:eastAsia="Times New Roman" w:hAnsi="Times New Roman"/>
      <w:sz w:val="24"/>
      <w:szCs w:val="20"/>
      <w:lang w:eastAsia="pt-BR"/>
    </w:rPr>
  </w:style>
  <w:style w:styleId="style66" w:type="paragraph">
    <w:name w:val="Título do sumário"/>
    <w:basedOn w:val="style1"/>
    <w:next w:val="style66"/>
    <w:pPr>
      <w:suppressLineNumbers/>
      <w:suppressAutoHyphens w:val="false"/>
      <w:spacing w:after="0" w:before="240" w:line="254" w:lineRule="auto"/>
      <w:ind w:hanging="0" w:left="0" w:right="0"/>
      <w:contextualSpacing w:val="false"/>
      <w:outlineLvl w:val="9"/>
    </w:pPr>
    <w:rPr>
      <w:rFonts w:ascii="Calibri Light" w:cs="" w:hAnsi="Calibri Light"/>
      <w:b w:val="false"/>
      <w:bCs w:val="false"/>
      <w:color w:val="2E74B5"/>
      <w:sz w:val="32"/>
      <w:szCs w:val="32"/>
    </w:rPr>
  </w:style>
  <w:style w:styleId="style67" w:type="paragraph">
    <w:name w:val="Sumário 1"/>
    <w:basedOn w:val="style0"/>
    <w:next w:val="style67"/>
    <w:pPr>
      <w:tabs>
        <w:tab w:leader="none" w:pos="426" w:val="left"/>
        <w:tab w:leader="dot" w:pos="8920" w:val="right"/>
      </w:tabs>
      <w:spacing w:after="100" w:before="0"/>
      <w:ind w:hanging="0" w:left="0" w:right="0"/>
      <w:contextualSpacing w:val="false"/>
    </w:pPr>
    <w:rPr/>
  </w:style>
  <w:style w:styleId="style68" w:type="paragraph">
    <w:name w:val="Sumário 2"/>
    <w:basedOn w:val="style0"/>
    <w:next w:val="style68"/>
    <w:pPr>
      <w:tabs>
        <w:tab w:leader="dot" w:pos="9795" w:val="right"/>
      </w:tabs>
      <w:spacing w:after="100" w:before="0"/>
      <w:ind w:hanging="0" w:left="220" w:right="0"/>
      <w:contextualSpacing w:val="false"/>
    </w:pPr>
    <w:rPr/>
  </w:style>
  <w:style w:styleId="style69" w:type="paragraph">
    <w:name w:val="Sumário 3"/>
    <w:basedOn w:val="style0"/>
    <w:next w:val="style69"/>
    <w:pPr>
      <w:tabs>
        <w:tab w:leader="dot" w:pos="9952" w:val="right"/>
      </w:tabs>
      <w:spacing w:after="100" w:before="0"/>
      <w:ind w:hanging="0" w:left="440" w:right="0"/>
      <w:contextualSpacing w:val="false"/>
    </w:pPr>
    <w:rPr/>
  </w:style>
  <w:style w:styleId="style70" w:type="paragraph">
    <w:name w:val="Sumário 4"/>
    <w:basedOn w:val="style0"/>
    <w:next w:val="style70"/>
    <w:pPr>
      <w:tabs>
        <w:tab w:leader="dot" w:pos="10109" w:val="right"/>
      </w:tabs>
      <w:suppressAutoHyphens w:val="false"/>
      <w:spacing w:after="100" w:before="0" w:line="254" w:lineRule="auto"/>
      <w:ind w:hanging="0" w:left="660" w:right="0"/>
      <w:contextualSpacing w:val="false"/>
    </w:pPr>
    <w:rPr>
      <w:rFonts w:ascii="Calibri" w:cs="" w:hAnsi="Calibri"/>
      <w:lang w:eastAsia="pt-BR"/>
    </w:rPr>
  </w:style>
  <w:style w:styleId="style71" w:type="paragraph">
    <w:name w:val="Sumário 5"/>
    <w:basedOn w:val="style0"/>
    <w:next w:val="style71"/>
    <w:pPr>
      <w:tabs>
        <w:tab w:leader="dot" w:pos="10266" w:val="right"/>
      </w:tabs>
      <w:suppressAutoHyphens w:val="false"/>
      <w:spacing w:after="100" w:before="0" w:line="254" w:lineRule="auto"/>
      <w:ind w:hanging="0" w:left="880" w:right="0"/>
      <w:contextualSpacing w:val="false"/>
    </w:pPr>
    <w:rPr>
      <w:rFonts w:ascii="Calibri" w:cs="" w:hAnsi="Calibri"/>
      <w:lang w:eastAsia="pt-BR"/>
    </w:rPr>
  </w:style>
  <w:style w:styleId="style72" w:type="paragraph">
    <w:name w:val="Sumário 6"/>
    <w:basedOn w:val="style0"/>
    <w:next w:val="style72"/>
    <w:pPr>
      <w:tabs>
        <w:tab w:leader="dot" w:pos="10423" w:val="right"/>
      </w:tabs>
      <w:suppressAutoHyphens w:val="false"/>
      <w:spacing w:after="100" w:before="0" w:line="254" w:lineRule="auto"/>
      <w:ind w:hanging="0" w:left="1100" w:right="0"/>
      <w:contextualSpacing w:val="false"/>
    </w:pPr>
    <w:rPr>
      <w:rFonts w:ascii="Calibri" w:cs="" w:hAnsi="Calibri"/>
      <w:lang w:eastAsia="pt-BR"/>
    </w:rPr>
  </w:style>
  <w:style w:styleId="style73" w:type="paragraph">
    <w:name w:val="Sumário 7"/>
    <w:basedOn w:val="style0"/>
    <w:next w:val="style73"/>
    <w:pPr>
      <w:tabs>
        <w:tab w:leader="dot" w:pos="10580" w:val="right"/>
      </w:tabs>
      <w:suppressAutoHyphens w:val="false"/>
      <w:spacing w:after="100" w:before="0" w:line="254" w:lineRule="auto"/>
      <w:ind w:hanging="0" w:left="1320" w:right="0"/>
      <w:contextualSpacing w:val="false"/>
    </w:pPr>
    <w:rPr>
      <w:rFonts w:ascii="Calibri" w:cs="" w:hAnsi="Calibri"/>
      <w:lang w:eastAsia="pt-BR"/>
    </w:rPr>
  </w:style>
  <w:style w:styleId="style74" w:type="paragraph">
    <w:name w:val="Sumário 8"/>
    <w:basedOn w:val="style0"/>
    <w:next w:val="style74"/>
    <w:pPr>
      <w:tabs>
        <w:tab w:leader="dot" w:pos="10737" w:val="right"/>
      </w:tabs>
      <w:suppressAutoHyphens w:val="false"/>
      <w:spacing w:after="100" w:before="0" w:line="254" w:lineRule="auto"/>
      <w:ind w:hanging="0" w:left="1540" w:right="0"/>
      <w:contextualSpacing w:val="false"/>
    </w:pPr>
    <w:rPr>
      <w:rFonts w:ascii="Calibri" w:cs="" w:hAnsi="Calibri"/>
      <w:lang w:eastAsia="pt-BR"/>
    </w:rPr>
  </w:style>
  <w:style w:styleId="style75" w:type="paragraph">
    <w:name w:val="Sumário 9"/>
    <w:basedOn w:val="style0"/>
    <w:next w:val="style75"/>
    <w:pPr>
      <w:tabs>
        <w:tab w:leader="dot" w:pos="10894" w:val="right"/>
      </w:tabs>
      <w:suppressAutoHyphens w:val="false"/>
      <w:spacing w:after="100" w:before="0" w:line="254" w:lineRule="auto"/>
      <w:ind w:hanging="0" w:left="1760" w:right="0"/>
      <w:contextualSpacing w:val="false"/>
    </w:pPr>
    <w:rPr>
      <w:rFonts w:ascii="Calibri" w:cs="" w:hAnsi="Calibri"/>
      <w:lang w:eastAsia="pt-BR"/>
    </w:rPr>
  </w:style>
  <w:style w:styleId="style76" w:type="paragraph">
    <w:name w:val="annotation text"/>
    <w:basedOn w:val="style0"/>
    <w:next w:val="style76"/>
    <w:pPr>
      <w:spacing w:line="100" w:lineRule="atLeast"/>
    </w:pPr>
    <w:rPr>
      <w:sz w:val="20"/>
      <w:szCs w:val="20"/>
    </w:rPr>
  </w:style>
  <w:style w:styleId="style77" w:type="paragraph">
    <w:name w:val="annotation subject"/>
    <w:basedOn w:val="style76"/>
    <w:next w:val="style77"/>
    <w:pPr/>
    <w:rPr>
      <w:b/>
      <w:bCs/>
    </w:rPr>
  </w:style>
  <w:style w:styleId="style78" w:type="paragraph">
    <w:name w:val="Revision"/>
    <w:next w:val="style78"/>
    <w:pPr>
      <w:widowControl/>
      <w:tabs/>
      <w:suppressAutoHyphens w:val="true"/>
    </w:pPr>
    <w:rPr>
      <w:rFonts w:ascii="Calibri" w:cs="Times New Roman" w:eastAsia="Calibri" w:hAnsi="Calibri"/>
      <w:color w:val="00000A"/>
      <w:sz w:val="22"/>
      <w:szCs w:val="22"/>
      <w:lang w:bidi="ar-SA" w:eastAsia="en-US" w:val="pt-BR"/>
    </w:rPr>
  </w:style>
  <w:style w:styleId="style79" w:type="paragraph">
    <w:name w:val="footnote text"/>
    <w:basedOn w:val="style0"/>
    <w:next w:val="style79"/>
    <w:pPr>
      <w:suppressAutoHyphens w:val="false"/>
      <w:spacing w:after="0" w:before="0" w:line="100" w:lineRule="atLeast"/>
      <w:contextualSpacing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itaborai.rj.gov.br/" TargetMode="External"/><Relationship Id="rId5" Type="http://schemas.openxmlformats.org/officeDocument/2006/relationships/hyperlink" Target="mailto:cpl@itaborai.rj.gov.b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10129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2019-09-23T20:07:00.00Z</dcterms:created>
  <dc:creator>SEMDS</dc:creator>
  <cp:lastModifiedBy>usuario</cp:lastModifiedBy>
  <cp:lastPrinted>2020-01-10T17:29:00.00Z</cp:lastPrinted>
  <dcterms:modified xsi:type="dcterms:W3CDTF">2020-01-10T17:29:00.00Z</dcterms:modified>
  <cp:revision>6</cp:revision>
</cp:coreProperties>
</file>